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97" w:rsidRDefault="00D12697" w:rsidP="004B7750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B7750" w:rsidRDefault="005A3E23" w:rsidP="004B7750">
      <w:pPr>
        <w:pStyle w:val="Heading1"/>
        <w:jc w:val="center"/>
        <w:rPr>
          <w:lang w:val="hr-HR"/>
        </w:rPr>
      </w:pPr>
      <w:bookmarkStart w:id="0" w:name="_Toc70164527"/>
      <w:r>
        <w:rPr>
          <w:lang w:val="hr-HR"/>
        </w:rPr>
        <w:t xml:space="preserve">UNIC </w:t>
      </w:r>
      <w:r w:rsidR="00A241AC" w:rsidRPr="00A241AC">
        <w:rPr>
          <w:lang w:val="hr-HR"/>
        </w:rPr>
        <w:t>GRADSKI LABORATORIJ</w:t>
      </w:r>
      <w:r>
        <w:rPr>
          <w:lang w:val="hr-HR"/>
        </w:rPr>
        <w:t>I</w:t>
      </w:r>
      <w:r w:rsidR="00A241AC" w:rsidRPr="00A241AC">
        <w:rPr>
          <w:lang w:val="hr-HR"/>
        </w:rPr>
        <w:t xml:space="preserve"> 2021: OTPOR</w:t>
      </w:r>
      <w:r w:rsidR="00BA15D6">
        <w:rPr>
          <w:lang w:val="hr-HR"/>
        </w:rPr>
        <w:t>AN</w:t>
      </w:r>
      <w:r w:rsidR="00A241AC" w:rsidRPr="00A241AC">
        <w:rPr>
          <w:lang w:val="hr-HR"/>
        </w:rPr>
        <w:t xml:space="preserve"> ZAGREB</w:t>
      </w:r>
      <w:bookmarkEnd w:id="0"/>
    </w:p>
    <w:p w:rsidR="00BA15D6" w:rsidRPr="00BA15D6" w:rsidRDefault="00BA15D6" w:rsidP="00BA15D6">
      <w:pPr>
        <w:pStyle w:val="Heading1"/>
        <w:jc w:val="center"/>
        <w:rPr>
          <w:lang w:val="hr-HR"/>
        </w:rPr>
      </w:pPr>
      <w:r>
        <w:rPr>
          <w:lang w:val="hr-HR"/>
        </w:rPr>
        <w:t>14.05. – 25.05. 2021.</w:t>
      </w:r>
    </w:p>
    <w:p w:rsidR="00742ACD" w:rsidRDefault="00742ACD" w:rsidP="00742ACD">
      <w:pPr>
        <w:rPr>
          <w:lang w:val="hr-HR"/>
        </w:rPr>
      </w:pPr>
    </w:p>
    <w:p w:rsidR="00742ACD" w:rsidRPr="00742ACD" w:rsidRDefault="00742ACD" w:rsidP="00742ACD">
      <w:pPr>
        <w:pStyle w:val="Heading2"/>
        <w:rPr>
          <w:lang w:val="hr-HR"/>
        </w:rPr>
      </w:pPr>
    </w:p>
    <w:p w:rsidR="00A241AC" w:rsidRDefault="00A241AC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41AC">
        <w:rPr>
          <w:rFonts w:ascii="Times New Roman" w:hAnsi="Times New Roman" w:cs="Times New Roman"/>
          <w:sz w:val="24"/>
          <w:szCs w:val="24"/>
          <w:lang w:val="hr-HR"/>
        </w:rPr>
        <w:t xml:space="preserve">Grad Zagreb je tijekom 2020. i 2021. godine iznenada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suočen s nekoliko velikih kriza koje će obilježiti čitave generacije i s čijim će se posljedicama Zagreb nositi čitavo desetljeće. </w:t>
      </w:r>
    </w:p>
    <w:p w:rsidR="00A241AC" w:rsidRDefault="00A241AC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41AC">
        <w:rPr>
          <w:rFonts w:ascii="Times New Roman" w:hAnsi="Times New Roman" w:cs="Times New Roman"/>
          <w:sz w:val="24"/>
          <w:szCs w:val="24"/>
          <w:lang w:val="hr-HR"/>
        </w:rPr>
        <w:t>Zagreb se, kao i ostatak Hrvatske, Europe i svijeta nosi sa svim izazovima korona krize, a teret kriza naglo je povećan kada je 22.03.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2020. pogođen razornim potresom. Nakon razornog potresa, u srpnju je Zagreb suočen s velikom poplavom, da bi ponovno proživio tešku epidemiološku jesen i konačno krajem 2020. godine snažno osjetio nova dva razorna potresa u središnjoj Hrvatskoj. Pored svega navedenog, Zagreb i Hrvatsku očekuju naknadne </w:t>
      </w:r>
      <w:r w:rsidR="00D12697">
        <w:rPr>
          <w:rFonts w:ascii="Times New Roman" w:hAnsi="Times New Roman" w:cs="Times New Roman"/>
          <w:sz w:val="24"/>
          <w:szCs w:val="24"/>
          <w:lang w:val="hr-HR"/>
        </w:rPr>
        <w:t>krize, poput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ekonomske krize, krize mentalnog zdravlja i narušene dobrobiti stanovnika, već ranije krize uzrokovane klimatskim promjenama, potencijalne političke krize… </w:t>
      </w:r>
    </w:p>
    <w:p w:rsidR="00A241AC" w:rsidRDefault="00A241AC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No, Zagreb kao glavni grad Hrvatske ima brojne kapacitete i resurse, a prije svega ističu se ljudski resursi, znanja i ekspertiza koja postoje u akademskoj zajednici, brojnim privatnim i javnim organizacijama, kao i snažan civilni sektor koji je od početka bio mobiliziran. Zagreb ima i brojne prirodne resurse, kao i snažan politički i geoprometni značaj. </w:t>
      </w:r>
    </w:p>
    <w:p w:rsidR="00A241AC" w:rsidRDefault="00A241AC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Kakav će Zagreb izaći nakon svih ovih kriza? Hoće li krize biti prilika da se unaprijede brojni aspekti kvalitete života, steknu nove vještine, razviju nova rješenja</w:t>
      </w:r>
      <w:r w:rsidR="00BA15D6">
        <w:rPr>
          <w:rFonts w:ascii="Times New Roman" w:hAnsi="Times New Roman" w:cs="Times New Roman"/>
          <w:sz w:val="24"/>
          <w:szCs w:val="24"/>
          <w:lang w:val="hr-HR"/>
        </w:rPr>
        <w:t>? Odgovor na ova pitanja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ovisi o njegovim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kapacitetima otpornosti.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Kapaciteti otpornosti su </w:t>
      </w:r>
      <w:r w:rsidR="00D12697">
        <w:rPr>
          <w:rFonts w:ascii="Times New Roman" w:hAnsi="Times New Roman" w:cs="Times New Roman"/>
          <w:sz w:val="24"/>
          <w:szCs w:val="24"/>
          <w:lang w:val="hr-HR"/>
        </w:rPr>
        <w:t xml:space="preserve">načini kako se lokalni resursi stavljaju u funkciju te </w:t>
      </w:r>
      <w:r>
        <w:rPr>
          <w:rFonts w:ascii="Times New Roman" w:hAnsi="Times New Roman" w:cs="Times New Roman"/>
          <w:sz w:val="24"/>
          <w:szCs w:val="24"/>
          <w:lang w:val="hr-HR"/>
        </w:rPr>
        <w:t>procesi, odluke</w:t>
      </w:r>
      <w:r w:rsidR="00D12697">
        <w:rPr>
          <w:rFonts w:ascii="Times New Roman" w:hAnsi="Times New Roman" w:cs="Times New Roman"/>
          <w:sz w:val="24"/>
          <w:szCs w:val="24"/>
          <w:lang w:val="hr-HR"/>
        </w:rPr>
        <w:t xml:space="preserve">, djelovanja koja omogućuju adekvatan odgovor na krizu. </w:t>
      </w:r>
      <w:r w:rsidR="008E1312">
        <w:rPr>
          <w:rFonts w:ascii="Times New Roman" w:hAnsi="Times New Roman" w:cs="Times New Roman"/>
          <w:sz w:val="24"/>
          <w:szCs w:val="24"/>
          <w:lang w:val="hr-HR"/>
        </w:rPr>
        <w:t xml:space="preserve">Kapaciteti otpornosti omogućuju i adekvatnu anticipaciju budućih rizika i kriza, pa i njihovo izbjegavanje. </w:t>
      </w:r>
    </w:p>
    <w:p w:rsidR="00742ACD" w:rsidRDefault="00742ACD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64755" w:rsidRDefault="00964755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64755">
        <w:rPr>
          <w:rFonts w:ascii="Times New Roman" w:hAnsi="Times New Roman" w:cs="Times New Roman"/>
          <w:sz w:val="24"/>
          <w:szCs w:val="24"/>
          <w:lang w:val="hr-HR"/>
        </w:rPr>
        <w:t xml:space="preserve">Projekt </w:t>
      </w:r>
      <w:r w:rsidR="000D0EC6">
        <w:rPr>
          <w:rFonts w:ascii="Times New Roman" w:hAnsi="Times New Roman" w:cs="Times New Roman"/>
          <w:sz w:val="24"/>
          <w:szCs w:val="24"/>
          <w:lang w:val="hr-HR"/>
        </w:rPr>
        <w:t xml:space="preserve">UNIC </w:t>
      </w:r>
      <w:r w:rsidRPr="00964755">
        <w:rPr>
          <w:rFonts w:ascii="Times New Roman" w:hAnsi="Times New Roman" w:cs="Times New Roman"/>
          <w:sz w:val="24"/>
          <w:szCs w:val="24"/>
          <w:lang w:val="hr-HR"/>
        </w:rPr>
        <w:t>Europskog sveučilišta postindustrijskih gradova koji se od 2020. godine provodi u suradnji 8 europskih sveučilišta kao jednu od svojih važnih komponenti ima pokretanje gradskih laboratorija. Gradski laboratoriji zamišljeni su kao fizičk</w:t>
      </w:r>
      <w:r>
        <w:rPr>
          <w:rFonts w:ascii="Times New Roman" w:hAnsi="Times New Roman" w:cs="Times New Roman"/>
          <w:sz w:val="24"/>
          <w:szCs w:val="24"/>
          <w:lang w:val="hr-HR"/>
        </w:rPr>
        <w:t>a ili virtualna mjesta rasprave</w:t>
      </w:r>
      <w:r w:rsidRPr="00964755">
        <w:rPr>
          <w:rFonts w:ascii="Times New Roman" w:hAnsi="Times New Roman" w:cs="Times New Roman"/>
          <w:sz w:val="24"/>
          <w:szCs w:val="24"/>
          <w:lang w:val="hr-HR"/>
        </w:rPr>
        <w:t xml:space="preserve"> radi utvrđivanja ključnih izazova i generiranja potencijalnih rješenja povezanih s pitanjima s kojima se suvremeni gradovi suočavaju.  </w:t>
      </w:r>
    </w:p>
    <w:p w:rsidR="00D12697" w:rsidRDefault="00D12697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sklopu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G</w:t>
      </w:r>
      <w:r w:rsidRPr="00D12697">
        <w:rPr>
          <w:rFonts w:ascii="Times New Roman" w:hAnsi="Times New Roman" w:cs="Times New Roman"/>
          <w:b/>
          <w:sz w:val="24"/>
          <w:szCs w:val="24"/>
          <w:lang w:val="hr-HR"/>
        </w:rPr>
        <w:t>radskog laboratorija 2021: Otporan Zagreb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nastojati će se dati doprinos jačanju kapaciteta otpornosti grada Zagreba, i to kroz sljedeće</w:t>
      </w:r>
      <w:r w:rsidR="009F5C57">
        <w:rPr>
          <w:rFonts w:ascii="Times New Roman" w:hAnsi="Times New Roman" w:cs="Times New Roman"/>
          <w:sz w:val="24"/>
          <w:szCs w:val="24"/>
          <w:lang w:val="hr-HR"/>
        </w:rPr>
        <w:t xml:space="preserve"> ishode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D12697" w:rsidRDefault="00D12697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1) generiranje pitanja koja donositeljima odluka i relevantnim dionika mogu poslužiti kao instrument samoprocjene </w:t>
      </w:r>
      <w:r w:rsidR="00964755" w:rsidRPr="00964755">
        <w:rPr>
          <w:rFonts w:ascii="Times New Roman" w:hAnsi="Times New Roman" w:cs="Times New Roman"/>
          <w:sz w:val="24"/>
          <w:szCs w:val="24"/>
          <w:lang w:val="hr-HR"/>
        </w:rPr>
        <w:t xml:space="preserve">ključnih izazova s kojima se susreće grad kao i </w:t>
      </w:r>
      <w:r>
        <w:rPr>
          <w:rFonts w:ascii="Times New Roman" w:hAnsi="Times New Roman" w:cs="Times New Roman"/>
          <w:sz w:val="24"/>
          <w:szCs w:val="24"/>
          <w:lang w:val="hr-HR"/>
        </w:rPr>
        <w:t>kapaciteta otpornosti</w:t>
      </w:r>
    </w:p>
    <w:p w:rsidR="00D12697" w:rsidRDefault="00D12697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2) mapiranje jakih strana, tj. područja u kojima su razvijeni kapaciteti otpornosti</w:t>
      </w:r>
    </w:p>
    <w:p w:rsidR="00D12697" w:rsidRDefault="00D12697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3) detektiranje slabih strana, tj. područja u kojima su nedostatno razvijeni kapaciteti otpornosti i formulacija problema </w:t>
      </w:r>
    </w:p>
    <w:p w:rsidR="00D12697" w:rsidRDefault="00D12697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4) </w:t>
      </w:r>
      <w:r w:rsidR="00964755">
        <w:rPr>
          <w:rFonts w:ascii="Times New Roman" w:hAnsi="Times New Roman" w:cs="Times New Roman"/>
          <w:sz w:val="24"/>
          <w:szCs w:val="24"/>
          <w:lang w:val="hr-HR"/>
        </w:rPr>
        <w:t xml:space="preserve">generiranje prijedloga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rješenja </w:t>
      </w:r>
      <w:r w:rsidR="009F5C57">
        <w:rPr>
          <w:rFonts w:ascii="Times New Roman" w:hAnsi="Times New Roman" w:cs="Times New Roman"/>
          <w:sz w:val="24"/>
          <w:szCs w:val="24"/>
          <w:lang w:val="hr-HR"/>
        </w:rPr>
        <w:t>koji će ojačati nedostatno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razvijene kapacitete otpornosti </w:t>
      </w:r>
    </w:p>
    <w:p w:rsidR="009F5C57" w:rsidRDefault="009F5C57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5) implementacija nekih od rješenja kojima se osnažuju kapaciteti otpornosti</w:t>
      </w:r>
    </w:p>
    <w:p w:rsidR="00742ACD" w:rsidRDefault="00742ACD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5C57" w:rsidRDefault="009F5C57" w:rsidP="00A241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Ostvarivanje predviđenih ishoda proći će kroz nekoliko faza</w:t>
      </w:r>
    </w:p>
    <w:p w:rsidR="009F5C57" w:rsidRPr="00742ACD" w:rsidRDefault="009F5C57" w:rsidP="009F5C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SVIBANJ 2021- </w:t>
      </w:r>
      <w:r w:rsidRPr="009F5C57">
        <w:rPr>
          <w:rFonts w:ascii="Times New Roman" w:hAnsi="Times New Roman" w:cs="Times New Roman"/>
          <w:sz w:val="24"/>
          <w:szCs w:val="24"/>
          <w:lang w:val="hr-HR"/>
        </w:rPr>
        <w:t xml:space="preserve">POKRETANJE LOKALNOG </w:t>
      </w:r>
      <w:r w:rsidRPr="009F5C57">
        <w:rPr>
          <w:rFonts w:ascii="Times New Roman" w:hAnsi="Times New Roman" w:cs="Times New Roman"/>
          <w:i/>
          <w:sz w:val="24"/>
          <w:szCs w:val="24"/>
          <w:lang w:val="hr-HR"/>
        </w:rPr>
        <w:t xml:space="preserve">POP-UP </w:t>
      </w:r>
      <w:r w:rsidRPr="009F5C57">
        <w:rPr>
          <w:rFonts w:ascii="Times New Roman" w:hAnsi="Times New Roman" w:cs="Times New Roman"/>
          <w:sz w:val="24"/>
          <w:szCs w:val="24"/>
          <w:lang w:val="hr-HR"/>
        </w:rPr>
        <w:t xml:space="preserve">GRADSKOG LABORATORIJA u sklopu kojeg će se ostvariti ishodi 1) generiranje pitanja koja donositeljima odluka i relevantnim dionika mogu poslužiti kao instrument samoprocjene </w:t>
      </w:r>
      <w:r w:rsidR="00964755" w:rsidRPr="00964755">
        <w:rPr>
          <w:rFonts w:ascii="Times New Roman" w:hAnsi="Times New Roman" w:cs="Times New Roman"/>
          <w:sz w:val="24"/>
          <w:szCs w:val="24"/>
          <w:lang w:val="hr-HR"/>
        </w:rPr>
        <w:t xml:space="preserve">ključnih izazova s kojima se susreće grad </w:t>
      </w:r>
      <w:r w:rsidR="00964755">
        <w:rPr>
          <w:rFonts w:ascii="Times New Roman" w:hAnsi="Times New Roman" w:cs="Times New Roman"/>
          <w:sz w:val="24"/>
          <w:szCs w:val="24"/>
          <w:lang w:val="hr-HR"/>
        </w:rPr>
        <w:t xml:space="preserve">kao i </w:t>
      </w:r>
      <w:r w:rsidRPr="009F5C57">
        <w:rPr>
          <w:rFonts w:ascii="Times New Roman" w:hAnsi="Times New Roman" w:cs="Times New Roman"/>
          <w:sz w:val="24"/>
          <w:szCs w:val="24"/>
          <w:lang w:val="hr-HR"/>
        </w:rPr>
        <w:t xml:space="preserve">kapaciteta otpornosti; 2) mapiranje jakih strana, tj. područja </w:t>
      </w:r>
      <w:r w:rsidRPr="00742ACD">
        <w:rPr>
          <w:rFonts w:ascii="Times New Roman" w:hAnsi="Times New Roman" w:cs="Times New Roman"/>
          <w:sz w:val="24"/>
          <w:szCs w:val="24"/>
          <w:lang w:val="hr-HR"/>
        </w:rPr>
        <w:t xml:space="preserve">u kojima su razvijeni kapaciteti otpornosti; 3) detektiranje slabih strana, tj. područja u kojima su nedostatno razvijeni kapaciteti otpornosti i formulacija problema </w:t>
      </w:r>
    </w:p>
    <w:p w:rsidR="009F5C57" w:rsidRDefault="009F5C57" w:rsidP="009F5C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LIPANJ 2021- Virtualna međunarodna platforma /međunarodni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Hackathon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sa partnerskim UNIC Sveučilištem za generiranje</w:t>
      </w:r>
      <w:r w:rsidR="00964755">
        <w:rPr>
          <w:rFonts w:ascii="Times New Roman" w:hAnsi="Times New Roman" w:cs="Times New Roman"/>
          <w:sz w:val="24"/>
          <w:szCs w:val="24"/>
          <w:lang w:val="hr-HR"/>
        </w:rPr>
        <w:t xml:space="preserve"> prijedloga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rješenja</w:t>
      </w:r>
    </w:p>
    <w:p w:rsidR="00FC06A6" w:rsidRDefault="00FC06A6" w:rsidP="00FC06A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RUJAN 2021- Implementacija nekih od rješenja kojim se osnažuju kapaciteti otpornosti</w:t>
      </w:r>
    </w:p>
    <w:p w:rsidR="00FC06A6" w:rsidRDefault="00FC06A6" w:rsidP="00FC06A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D0EC6" w:rsidRDefault="000D0EC6" w:rsidP="000D0E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D0EC6" w:rsidRDefault="000D0EC6" w:rsidP="000D0E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Sve sekcije prvog gradskog laboratorija održati će se u periodu od 1</w:t>
      </w:r>
      <w:r w:rsidR="00BA15D6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do 25. svibnja 2021. godine. </w:t>
      </w:r>
      <w:r w:rsidR="00BA15D6">
        <w:rPr>
          <w:rFonts w:ascii="Times New Roman" w:hAnsi="Times New Roman" w:cs="Times New Roman"/>
          <w:sz w:val="24"/>
          <w:szCs w:val="24"/>
          <w:lang w:val="hr-HR"/>
        </w:rPr>
        <w:t>u online formatu, i to prema niže navedenom rasporedu</w:t>
      </w:r>
      <w:r w:rsidR="005A3E2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BA15D6" w:rsidRDefault="000D0EC6" w:rsidP="00BA15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B775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Ovim putem Vas pozivamo da sudjelujete u radu prvog gradskog laboratorija, </w:t>
      </w:r>
      <w:r w:rsidR="00BA15D6">
        <w:rPr>
          <w:rFonts w:ascii="Times New Roman" w:hAnsi="Times New Roman" w:cs="Times New Roman"/>
          <w:b/>
          <w:sz w:val="24"/>
          <w:szCs w:val="24"/>
          <w:lang w:val="hr-HR"/>
        </w:rPr>
        <w:t>i to u sekciji/sekcijama prema vlastitom izboru. Sve sekcije biti će održane putem online platformi, a poveznicu ćete dobiti nakon što napravite prijavu putem kratkog obrasca.</w:t>
      </w:r>
    </w:p>
    <w:p w:rsidR="004B7750" w:rsidRDefault="00BA15D6" w:rsidP="00BA15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Molimo Vas da prijavu izvršite najkasnije do 1</w:t>
      </w:r>
      <w:r w:rsidR="00031881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.05.2021.  putem obrasca</w:t>
      </w:r>
    </w:p>
    <w:p w:rsidR="004B7750" w:rsidRDefault="00031881" w:rsidP="000D0E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F32A7F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https://forms.gle/ZfckX45TrBUaKe7a9</w:t>
        </w:r>
      </w:hyperlink>
    </w:p>
    <w:p w:rsidR="00453332" w:rsidRDefault="00453332" w:rsidP="000D0E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GoBack"/>
      <w:bookmarkEnd w:id="1"/>
    </w:p>
    <w:p w:rsidR="009F5C57" w:rsidRDefault="000D0EC6" w:rsidP="000D0E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sva dodatna pitanja slobodno se javite </w:t>
      </w:r>
      <w:r w:rsidR="00BA15D6">
        <w:rPr>
          <w:rFonts w:ascii="Times New Roman" w:hAnsi="Times New Roman" w:cs="Times New Roman"/>
          <w:sz w:val="24"/>
          <w:szCs w:val="24"/>
          <w:lang w:val="hr-HR"/>
        </w:rPr>
        <w:t>voditeljima gradskih laboratorija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A15D6">
        <w:rPr>
          <w:rFonts w:ascii="Times New Roman" w:hAnsi="Times New Roman" w:cs="Times New Roman"/>
          <w:sz w:val="24"/>
          <w:szCs w:val="24"/>
          <w:lang w:val="hr-HR"/>
        </w:rPr>
        <w:t xml:space="preserve">prof.dr.sc. Ninu </w:t>
      </w:r>
      <w:proofErr w:type="spellStart"/>
      <w:r w:rsidR="00BA15D6">
        <w:rPr>
          <w:rFonts w:ascii="Times New Roman" w:hAnsi="Times New Roman" w:cs="Times New Roman"/>
          <w:sz w:val="24"/>
          <w:szCs w:val="24"/>
          <w:lang w:val="hr-HR"/>
        </w:rPr>
        <w:t>Žganecu</w:t>
      </w:r>
      <w:proofErr w:type="spellEnd"/>
      <w:r w:rsidR="00BA15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hyperlink r:id="rId9" w:history="1">
        <w:r w:rsidR="00BA15D6" w:rsidRPr="00F32A7F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nzganec@pravo.hr</w:t>
        </w:r>
      </w:hyperlink>
      <w:r w:rsidR="00BA15D6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doc.dr.sc. Ani Opačić na </w:t>
      </w:r>
      <w:hyperlink r:id="rId10" w:history="1">
        <w:r w:rsidRPr="008E33CA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ana.opacic@pravo.hr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5A3E23" w:rsidRDefault="005A3E2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:rsidR="005A3E23" w:rsidRDefault="005A3E23" w:rsidP="005A3E23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A3E23" w:rsidRPr="00101D6A" w:rsidRDefault="005A3E23" w:rsidP="005A3E2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01D6A">
        <w:rPr>
          <w:rFonts w:ascii="Times New Roman" w:hAnsi="Times New Roman" w:cs="Times New Roman"/>
          <w:b/>
          <w:sz w:val="24"/>
          <w:szCs w:val="24"/>
          <w:lang w:val="hr-HR"/>
        </w:rPr>
        <w:t>PRVI POP-UP GRADSKI LABORATORIJ 2021: OTPORAN ZAGREB</w:t>
      </w:r>
    </w:p>
    <w:p w:rsidR="005A3E23" w:rsidRPr="00DB5B50" w:rsidRDefault="005A3E23" w:rsidP="005A3E23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TERMINI ODRŽAVANJA SEKCIJA</w:t>
      </w:r>
    </w:p>
    <w:tbl>
      <w:tblPr>
        <w:tblStyle w:val="TableGrid"/>
        <w:tblW w:w="10083" w:type="dxa"/>
        <w:tblInd w:w="-5" w:type="dxa"/>
        <w:tblLook w:val="04A0" w:firstRow="1" w:lastRow="0" w:firstColumn="1" w:lastColumn="0" w:noHBand="0" w:noVBand="1"/>
      </w:tblPr>
      <w:tblGrid>
        <w:gridCol w:w="5323"/>
        <w:gridCol w:w="2100"/>
        <w:gridCol w:w="2660"/>
      </w:tblGrid>
      <w:tr w:rsidR="005A3E23" w:rsidRPr="00A52CA2" w:rsidTr="00EE4490">
        <w:trPr>
          <w:trHeight w:val="643"/>
        </w:trPr>
        <w:tc>
          <w:tcPr>
            <w:tcW w:w="5323" w:type="dxa"/>
          </w:tcPr>
          <w:p w:rsidR="005A3E23" w:rsidRPr="00A52CA2" w:rsidRDefault="005A3E23" w:rsidP="00EE44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SEKCIJA</w:t>
            </w:r>
          </w:p>
        </w:tc>
        <w:tc>
          <w:tcPr>
            <w:tcW w:w="2100" w:type="dxa"/>
          </w:tcPr>
          <w:p w:rsidR="005A3E23" w:rsidRPr="00A52CA2" w:rsidRDefault="005A3E23" w:rsidP="00EE44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52C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660" w:type="dxa"/>
          </w:tcPr>
          <w:p w:rsidR="005A3E23" w:rsidRPr="00A52CA2" w:rsidRDefault="005A3E23" w:rsidP="00EE44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52C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VRIJEME</w:t>
            </w:r>
          </w:p>
        </w:tc>
      </w:tr>
      <w:tr w:rsidR="005A3E23" w:rsidRPr="009D6E9C" w:rsidTr="00EE4490">
        <w:trPr>
          <w:trHeight w:val="436"/>
        </w:trPr>
        <w:tc>
          <w:tcPr>
            <w:tcW w:w="5323" w:type="dxa"/>
          </w:tcPr>
          <w:p w:rsidR="005A3E23" w:rsidRPr="009D6E9C" w:rsidRDefault="005A3E23" w:rsidP="00EE449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Upravljanje i ljudski resursi u doba kriza</w:t>
            </w:r>
          </w:p>
        </w:tc>
        <w:tc>
          <w:tcPr>
            <w:tcW w:w="2100" w:type="dxa"/>
          </w:tcPr>
          <w:p w:rsidR="005A3E23" w:rsidRPr="009D6E9C" w:rsidRDefault="005A3E23" w:rsidP="00EE449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14.05.2021.</w:t>
            </w:r>
          </w:p>
        </w:tc>
        <w:tc>
          <w:tcPr>
            <w:tcW w:w="2660" w:type="dxa"/>
          </w:tcPr>
          <w:p w:rsidR="005A3E23" w:rsidRPr="009D6E9C" w:rsidRDefault="005A3E23" w:rsidP="00EE4490">
            <w:pPr>
              <w:pStyle w:val="NormalWeb"/>
            </w:pPr>
            <w:r w:rsidRPr="009D6E9C">
              <w:rPr>
                <w:lang w:val="hr-HR"/>
              </w:rPr>
              <w:t>12-14 sati</w:t>
            </w:r>
          </w:p>
          <w:p w:rsidR="005A3E23" w:rsidRPr="009D6E9C" w:rsidRDefault="005A3E23" w:rsidP="00EE449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31881" w:rsidRPr="009D6E9C" w:rsidTr="00EE4490">
        <w:trPr>
          <w:trHeight w:val="436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Sustav upravljanja krizama u zajednici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 – 16 sati</w:t>
            </w:r>
          </w:p>
        </w:tc>
      </w:tr>
      <w:tr w:rsidR="00031881" w:rsidRPr="009D6E9C" w:rsidTr="00EE4490">
        <w:trPr>
          <w:trHeight w:val="436"/>
        </w:trPr>
        <w:tc>
          <w:tcPr>
            <w:tcW w:w="5323" w:type="dxa"/>
          </w:tcPr>
          <w:p w:rsidR="00031881" w:rsidRPr="009D6E9C" w:rsidRDefault="00031881" w:rsidP="000318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Krize i ranjive skupine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19.05.2021.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12-14 sati</w:t>
            </w:r>
          </w:p>
        </w:tc>
      </w:tr>
      <w:tr w:rsidR="00031881" w:rsidRPr="009D6E9C" w:rsidTr="00EE4490">
        <w:trPr>
          <w:trHeight w:val="643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Izgradnja vizije razvoja zajednice tijekom i nakon kriza te održavanje pozitivnog duha zajednice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pStyle w:val="NormalWeb"/>
            </w:pPr>
            <w:r w:rsidRPr="009D6E9C">
              <w:rPr>
                <w:lang w:val="hr-HR"/>
              </w:rPr>
              <w:t>12-14 sati</w:t>
            </w:r>
          </w:p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31881" w:rsidRPr="009D6E9C" w:rsidTr="00EE4490">
        <w:trPr>
          <w:trHeight w:val="643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Financijska pismenost i upravljanje financijskim resursima kao doprinos razvoju otpornosti grada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 – 14 sati</w:t>
            </w:r>
          </w:p>
        </w:tc>
      </w:tr>
      <w:tr w:rsidR="00031881" w:rsidRPr="009D6E9C" w:rsidTr="00EE4490">
        <w:trPr>
          <w:trHeight w:val="643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Razvoj socijalnog kapitala kao temelj jačanja otpornosti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17 -19 sati</w:t>
            </w:r>
          </w:p>
        </w:tc>
      </w:tr>
      <w:tr w:rsidR="00031881" w:rsidRPr="009D6E9C" w:rsidTr="00EE4490">
        <w:trPr>
          <w:trHeight w:val="643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Tehnološka i inovativna rješenja za suočavanje s krizama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13-15 sati</w:t>
            </w:r>
          </w:p>
        </w:tc>
      </w:tr>
      <w:tr w:rsidR="00031881" w:rsidRPr="009D6E9C" w:rsidTr="00EE4490">
        <w:trPr>
          <w:trHeight w:val="643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Komunikacija i odnosi u zajednici tijekom kriza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 – 15 sati</w:t>
            </w:r>
          </w:p>
        </w:tc>
      </w:tr>
      <w:tr w:rsidR="00031881" w:rsidRPr="009D6E9C" w:rsidTr="00EE4490">
        <w:trPr>
          <w:trHeight w:val="643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Prirodni resursi u funkciji jačanja otpornosti grada na krizne događaje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 – 14 sati</w:t>
            </w:r>
          </w:p>
        </w:tc>
      </w:tr>
      <w:tr w:rsidR="00031881" w:rsidRPr="009D6E9C" w:rsidTr="00EE4490">
        <w:trPr>
          <w:trHeight w:val="643"/>
        </w:trPr>
        <w:tc>
          <w:tcPr>
            <w:tcW w:w="5323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Dostupnost javnih službi i usluga za građane tijekom kriza</w:t>
            </w:r>
          </w:p>
        </w:tc>
        <w:tc>
          <w:tcPr>
            <w:tcW w:w="210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25.05.2021.</w:t>
            </w:r>
          </w:p>
        </w:tc>
        <w:tc>
          <w:tcPr>
            <w:tcW w:w="2660" w:type="dxa"/>
          </w:tcPr>
          <w:p w:rsidR="00031881" w:rsidRPr="009D6E9C" w:rsidRDefault="00031881" w:rsidP="00031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E9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13-15 sati</w:t>
            </w:r>
          </w:p>
        </w:tc>
      </w:tr>
    </w:tbl>
    <w:p w:rsidR="004B7750" w:rsidRDefault="004B7750" w:rsidP="000D0E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5116C" w:rsidRPr="00833D2F" w:rsidRDefault="0055116C" w:rsidP="00833D2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55116C" w:rsidRPr="00833D2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DE" w:rsidRDefault="000930DE" w:rsidP="00D12697">
      <w:pPr>
        <w:spacing w:after="0" w:line="240" w:lineRule="auto"/>
      </w:pPr>
      <w:r>
        <w:separator/>
      </w:r>
    </w:p>
  </w:endnote>
  <w:endnote w:type="continuationSeparator" w:id="0">
    <w:p w:rsidR="000930DE" w:rsidRDefault="000930DE" w:rsidP="00D1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E5" w:rsidRDefault="009224E5">
    <w:pPr>
      <w:pStyle w:val="Footer"/>
      <w:jc w:val="right"/>
    </w:pPr>
  </w:p>
  <w:p w:rsidR="009224E5" w:rsidRDefault="00922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DE" w:rsidRDefault="000930DE" w:rsidP="00D12697">
      <w:pPr>
        <w:spacing w:after="0" w:line="240" w:lineRule="auto"/>
      </w:pPr>
      <w:r>
        <w:separator/>
      </w:r>
    </w:p>
  </w:footnote>
  <w:footnote w:type="continuationSeparator" w:id="0">
    <w:p w:rsidR="000930DE" w:rsidRDefault="000930DE" w:rsidP="00D1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97" w:rsidRDefault="001C00FE" w:rsidP="001C00FE">
    <w:pPr>
      <w:pStyle w:val="Header"/>
      <w:jc w:val="right"/>
    </w:pPr>
    <w:r w:rsidRPr="001C00FE">
      <w:rPr>
        <w:noProof/>
      </w:rPr>
      <w:drawing>
        <wp:anchor distT="0" distB="0" distL="114300" distR="114300" simplePos="0" relativeHeight="251659264" behindDoc="1" locked="0" layoutInCell="1" allowOverlap="1" wp14:anchorId="50F5AFDA" wp14:editId="7C680DB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249045" cy="66548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C 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B689E8" wp14:editId="5DD52C7F">
          <wp:simplePos x="0" y="0"/>
          <wp:positionH relativeFrom="column">
            <wp:posOffset>5219700</wp:posOffset>
          </wp:positionH>
          <wp:positionV relativeFrom="paragraph">
            <wp:posOffset>-248285</wp:posOffset>
          </wp:positionV>
          <wp:extent cx="1427480" cy="713740"/>
          <wp:effectExtent l="0" t="0" r="1270" b="0"/>
          <wp:wrapNone/>
          <wp:docPr id="6" name="Picture 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FE">
      <w:rPr>
        <w:noProof/>
      </w:rPr>
      <w:drawing>
        <wp:anchor distT="0" distB="0" distL="114300" distR="114300" simplePos="0" relativeHeight="251660288" behindDoc="0" locked="0" layoutInCell="1" allowOverlap="1" wp14:anchorId="070FFC08" wp14:editId="0B447FCC">
          <wp:simplePos x="0" y="0"/>
          <wp:positionH relativeFrom="column">
            <wp:posOffset>8318500</wp:posOffset>
          </wp:positionH>
          <wp:positionV relativeFrom="paragraph">
            <wp:posOffset>-635</wp:posOffset>
          </wp:positionV>
          <wp:extent cx="1427480" cy="713740"/>
          <wp:effectExtent l="0" t="0" r="1270" b="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06"/>
      </v:shape>
    </w:pict>
  </w:numPicBullet>
  <w:abstractNum w:abstractNumId="0" w15:restartNumberingAfterBreak="0">
    <w:nsid w:val="06CD131E"/>
    <w:multiLevelType w:val="hybridMultilevel"/>
    <w:tmpl w:val="39B0A900"/>
    <w:lvl w:ilvl="0" w:tplc="1BFCFC2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96304"/>
    <w:multiLevelType w:val="hybridMultilevel"/>
    <w:tmpl w:val="B2F853EA"/>
    <w:lvl w:ilvl="0" w:tplc="9C40D2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AB0"/>
    <w:multiLevelType w:val="hybridMultilevel"/>
    <w:tmpl w:val="8C0E8F48"/>
    <w:lvl w:ilvl="0" w:tplc="1BFCFC28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57CE"/>
    <w:multiLevelType w:val="hybridMultilevel"/>
    <w:tmpl w:val="63181C4C"/>
    <w:lvl w:ilvl="0" w:tplc="1BFCFC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68A9"/>
    <w:multiLevelType w:val="hybridMultilevel"/>
    <w:tmpl w:val="E5046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00C6C"/>
    <w:multiLevelType w:val="hybridMultilevel"/>
    <w:tmpl w:val="57D4E6E6"/>
    <w:lvl w:ilvl="0" w:tplc="9C40D2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13B8"/>
    <w:multiLevelType w:val="hybridMultilevel"/>
    <w:tmpl w:val="0A3609DC"/>
    <w:lvl w:ilvl="0" w:tplc="1BFCFC28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79C5"/>
    <w:multiLevelType w:val="hybridMultilevel"/>
    <w:tmpl w:val="A99410CA"/>
    <w:lvl w:ilvl="0" w:tplc="9C40D2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61FB5"/>
    <w:multiLevelType w:val="hybridMultilevel"/>
    <w:tmpl w:val="1E1690F6"/>
    <w:lvl w:ilvl="0" w:tplc="9C40D2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16573"/>
    <w:multiLevelType w:val="multilevel"/>
    <w:tmpl w:val="7FAE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72A6C"/>
    <w:multiLevelType w:val="hybridMultilevel"/>
    <w:tmpl w:val="3BA80010"/>
    <w:lvl w:ilvl="0" w:tplc="1BFCFC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D0AFB"/>
    <w:multiLevelType w:val="hybridMultilevel"/>
    <w:tmpl w:val="ED4C3D5E"/>
    <w:lvl w:ilvl="0" w:tplc="1BFCFC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A0817"/>
    <w:multiLevelType w:val="hybridMultilevel"/>
    <w:tmpl w:val="12AEEBC8"/>
    <w:lvl w:ilvl="0" w:tplc="9C40D2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C53A6"/>
    <w:multiLevelType w:val="hybridMultilevel"/>
    <w:tmpl w:val="7DB4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F3EF3"/>
    <w:multiLevelType w:val="hybridMultilevel"/>
    <w:tmpl w:val="3FACF794"/>
    <w:lvl w:ilvl="0" w:tplc="9C40D2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0DC3"/>
    <w:multiLevelType w:val="hybridMultilevel"/>
    <w:tmpl w:val="CFD47740"/>
    <w:lvl w:ilvl="0" w:tplc="1BFCFC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D6144"/>
    <w:multiLevelType w:val="hybridMultilevel"/>
    <w:tmpl w:val="927AEDE4"/>
    <w:lvl w:ilvl="0" w:tplc="1BFCFC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E22D0"/>
    <w:multiLevelType w:val="multilevel"/>
    <w:tmpl w:val="7F56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73350"/>
    <w:multiLevelType w:val="multilevel"/>
    <w:tmpl w:val="6082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ED0DEF"/>
    <w:multiLevelType w:val="multilevel"/>
    <w:tmpl w:val="8DCC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F17BD"/>
    <w:multiLevelType w:val="hybridMultilevel"/>
    <w:tmpl w:val="B8D8C864"/>
    <w:lvl w:ilvl="0" w:tplc="9C40D2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7924"/>
    <w:multiLevelType w:val="hybridMultilevel"/>
    <w:tmpl w:val="4008C742"/>
    <w:lvl w:ilvl="0" w:tplc="226292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03795"/>
    <w:multiLevelType w:val="multilevel"/>
    <w:tmpl w:val="39F49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555D66"/>
    <w:multiLevelType w:val="hybridMultilevel"/>
    <w:tmpl w:val="E3BEA0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9"/>
  </w:num>
  <w:num w:numId="5">
    <w:abstractNumId w:val="18"/>
  </w:num>
  <w:num w:numId="6">
    <w:abstractNumId w:val="22"/>
    <w:lvlOverride w:ilvl="0">
      <w:lvl w:ilvl="0">
        <w:numFmt w:val="decimal"/>
        <w:lvlText w:val="%1."/>
        <w:lvlJc w:val="left"/>
      </w:lvl>
    </w:lvlOverride>
  </w:num>
  <w:num w:numId="7">
    <w:abstractNumId w:val="19"/>
    <w:lvlOverride w:ilvl="0">
      <w:lvl w:ilvl="0">
        <w:numFmt w:val="lowerLetter"/>
        <w:lvlText w:val="%1."/>
        <w:lvlJc w:val="left"/>
      </w:lvl>
    </w:lvlOverride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8"/>
  </w:num>
  <w:num w:numId="13">
    <w:abstractNumId w:val="20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21"/>
  </w:num>
  <w:num w:numId="19">
    <w:abstractNumId w:val="2"/>
  </w:num>
  <w:num w:numId="20">
    <w:abstractNumId w:val="11"/>
  </w:num>
  <w:num w:numId="21">
    <w:abstractNumId w:val="23"/>
  </w:num>
  <w:num w:numId="22">
    <w:abstractNumId w:val="17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40"/>
    <w:rsid w:val="00031881"/>
    <w:rsid w:val="00081FFD"/>
    <w:rsid w:val="000930DE"/>
    <w:rsid w:val="000D0EC6"/>
    <w:rsid w:val="001C00FE"/>
    <w:rsid w:val="00291EF6"/>
    <w:rsid w:val="002E33EC"/>
    <w:rsid w:val="003558E5"/>
    <w:rsid w:val="00453332"/>
    <w:rsid w:val="004B7750"/>
    <w:rsid w:val="004F5DA0"/>
    <w:rsid w:val="0055116C"/>
    <w:rsid w:val="005965A5"/>
    <w:rsid w:val="005A3E23"/>
    <w:rsid w:val="00605C82"/>
    <w:rsid w:val="00614C90"/>
    <w:rsid w:val="0073743C"/>
    <w:rsid w:val="00742ACD"/>
    <w:rsid w:val="00833D2F"/>
    <w:rsid w:val="00841EE8"/>
    <w:rsid w:val="008D2430"/>
    <w:rsid w:val="008E1312"/>
    <w:rsid w:val="009224E5"/>
    <w:rsid w:val="00927371"/>
    <w:rsid w:val="0096052B"/>
    <w:rsid w:val="00964755"/>
    <w:rsid w:val="00977940"/>
    <w:rsid w:val="009F5C57"/>
    <w:rsid w:val="00A241AC"/>
    <w:rsid w:val="00A30AAA"/>
    <w:rsid w:val="00AD18E9"/>
    <w:rsid w:val="00BA15D6"/>
    <w:rsid w:val="00C56336"/>
    <w:rsid w:val="00C6683C"/>
    <w:rsid w:val="00CB549E"/>
    <w:rsid w:val="00D06CA5"/>
    <w:rsid w:val="00D12697"/>
    <w:rsid w:val="00DB1ED7"/>
    <w:rsid w:val="00E0005A"/>
    <w:rsid w:val="00E11A9A"/>
    <w:rsid w:val="00F46171"/>
    <w:rsid w:val="00FB192D"/>
    <w:rsid w:val="00FC06A6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66C8F"/>
  <w15:chartTrackingRefBased/>
  <w15:docId w15:val="{BC4A4656-4B1A-4D04-AA9C-C7724315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AC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AC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ACD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97"/>
  </w:style>
  <w:style w:type="paragraph" w:styleId="Footer">
    <w:name w:val="footer"/>
    <w:basedOn w:val="Normal"/>
    <w:link w:val="FooterChar"/>
    <w:uiPriority w:val="99"/>
    <w:unhideWhenUsed/>
    <w:rsid w:val="00D1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97"/>
  </w:style>
  <w:style w:type="paragraph" w:styleId="ListParagraph">
    <w:name w:val="List Paragraph"/>
    <w:basedOn w:val="Normal"/>
    <w:uiPriority w:val="34"/>
    <w:qFormat/>
    <w:rsid w:val="009F5C57"/>
    <w:pPr>
      <w:ind w:left="720"/>
      <w:contextualSpacing/>
    </w:pPr>
  </w:style>
  <w:style w:type="table" w:styleId="TableGrid">
    <w:name w:val="Table Grid"/>
    <w:basedOn w:val="TableNormal"/>
    <w:uiPriority w:val="39"/>
    <w:rsid w:val="0029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2A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2ACD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ACD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ACD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42ACD"/>
    <w:pPr>
      <w:outlineLvl w:val="9"/>
    </w:pPr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42A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A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2AC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381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fckX45TrBUaKe7a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.opacic@pravo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zganec@pravo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47DC-D1EE-4EA3-BAD1-9C63C9D7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Pravni fakultet u Zagrebi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Opačić</dc:creator>
  <cp:keywords/>
  <dc:description/>
  <cp:lastModifiedBy>Ana Opačić</cp:lastModifiedBy>
  <cp:revision>15</cp:revision>
  <cp:lastPrinted>2021-04-28T07:27:00Z</cp:lastPrinted>
  <dcterms:created xsi:type="dcterms:W3CDTF">2021-04-24T08:22:00Z</dcterms:created>
  <dcterms:modified xsi:type="dcterms:W3CDTF">2021-05-05T06:42:00Z</dcterms:modified>
</cp:coreProperties>
</file>