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39A6" w14:paraId="7ECECA09" w14:textId="77777777" w:rsidTr="005339A6">
        <w:tc>
          <w:tcPr>
            <w:tcW w:w="9016" w:type="dxa"/>
          </w:tcPr>
          <w:p w14:paraId="348CE7E7" w14:textId="5FD4CD34" w:rsidR="005339A6" w:rsidRDefault="00014EBA">
            <w:r>
              <w:t xml:space="preserve">Naziv </w:t>
            </w:r>
            <w:r w:rsidR="005339A6">
              <w:t>poslijediplomskog specijalističkog studija:</w:t>
            </w:r>
          </w:p>
          <w:p w14:paraId="39D996DC" w14:textId="7A823A3E" w:rsidR="006F1494" w:rsidRPr="006F1494" w:rsidRDefault="006F1494">
            <w:pPr>
              <w:rPr>
                <w:b/>
              </w:rPr>
            </w:pPr>
            <w:r w:rsidRPr="006F1494">
              <w:rPr>
                <w:b/>
              </w:rPr>
              <w:t xml:space="preserve">Cjeloživotno </w:t>
            </w:r>
            <w:r w:rsidR="00014EBA">
              <w:rPr>
                <w:b/>
              </w:rPr>
              <w:t>učenje</w:t>
            </w:r>
          </w:p>
          <w:p w14:paraId="0F099CBD" w14:textId="0AE7907A" w:rsidR="00205875" w:rsidRPr="005339A6" w:rsidRDefault="00205875"/>
        </w:tc>
      </w:tr>
      <w:tr w:rsidR="005339A6" w14:paraId="007D348E" w14:textId="77777777" w:rsidTr="005339A6">
        <w:tc>
          <w:tcPr>
            <w:tcW w:w="9016" w:type="dxa"/>
          </w:tcPr>
          <w:p w14:paraId="5E29B121" w14:textId="5160132B" w:rsidR="005339A6" w:rsidRPr="005339A6" w:rsidRDefault="005339A6" w:rsidP="006F1494">
            <w:r>
              <w:t>Znanstveno područje:</w:t>
            </w:r>
            <w:r w:rsidR="006F1494">
              <w:t xml:space="preserve"> </w:t>
            </w:r>
            <w:r w:rsidR="006F1494" w:rsidRPr="006F1494">
              <w:rPr>
                <w:b/>
              </w:rPr>
              <w:t xml:space="preserve">8.0 </w:t>
            </w:r>
            <w:r w:rsidR="006F1494">
              <w:rPr>
                <w:b/>
              </w:rPr>
              <w:t>I</w:t>
            </w:r>
            <w:r w:rsidR="006F1494" w:rsidRPr="006F1494">
              <w:rPr>
                <w:b/>
              </w:rPr>
              <w:t>nterdisciplinarna područja znanosti</w:t>
            </w:r>
          </w:p>
        </w:tc>
      </w:tr>
      <w:tr w:rsidR="005339A6" w14:paraId="1F529AE0" w14:textId="77777777" w:rsidTr="005339A6">
        <w:tc>
          <w:tcPr>
            <w:tcW w:w="9016" w:type="dxa"/>
          </w:tcPr>
          <w:p w14:paraId="5E55DED6" w14:textId="0426F2D0" w:rsidR="005339A6" w:rsidRPr="005339A6" w:rsidRDefault="005339A6">
            <w:r>
              <w:t>Polje:</w:t>
            </w:r>
            <w:r w:rsidR="006F1494">
              <w:t xml:space="preserve"> </w:t>
            </w:r>
            <w:r w:rsidR="006F1494" w:rsidRPr="006F1494">
              <w:rPr>
                <w:b/>
              </w:rPr>
              <w:t>8.05. Obrazovne znanosti</w:t>
            </w:r>
          </w:p>
        </w:tc>
      </w:tr>
      <w:tr w:rsidR="005339A6" w14:paraId="5621F284" w14:textId="77777777" w:rsidTr="005339A6">
        <w:tc>
          <w:tcPr>
            <w:tcW w:w="9016" w:type="dxa"/>
          </w:tcPr>
          <w:p w14:paraId="3F0C4E3B" w14:textId="1AF0C285" w:rsidR="005339A6" w:rsidRPr="005339A6" w:rsidRDefault="005339A6" w:rsidP="00D63802">
            <w:r>
              <w:t>Trajanje studija:</w:t>
            </w:r>
            <w:r w:rsidR="006F1494">
              <w:t xml:space="preserve"> </w:t>
            </w:r>
            <w:r w:rsidR="00D63802" w:rsidRPr="00D63802">
              <w:rPr>
                <w:b/>
              </w:rPr>
              <w:t>2</w:t>
            </w:r>
            <w:r w:rsidR="006F1494" w:rsidRPr="006F1494">
              <w:rPr>
                <w:b/>
              </w:rPr>
              <w:t xml:space="preserve"> godine</w:t>
            </w:r>
            <w:r w:rsidR="00D63802">
              <w:rPr>
                <w:b/>
              </w:rPr>
              <w:t>/ 4 semestra</w:t>
            </w:r>
          </w:p>
        </w:tc>
      </w:tr>
      <w:tr w:rsidR="005339A6" w14:paraId="0EF45D20" w14:textId="77777777" w:rsidTr="005339A6">
        <w:tc>
          <w:tcPr>
            <w:tcW w:w="9016" w:type="dxa"/>
          </w:tcPr>
          <w:p w14:paraId="6F619DEC" w14:textId="6B620BDD" w:rsidR="005339A6" w:rsidRPr="005339A6" w:rsidRDefault="005339A6" w:rsidP="00D63802">
            <w:r>
              <w:t>Akademski stupanj:</w:t>
            </w:r>
            <w:r w:rsidR="006F1494">
              <w:t xml:space="preserve"> </w:t>
            </w:r>
            <w:r w:rsidR="00B90231" w:rsidRPr="00B90231">
              <w:rPr>
                <w:b/>
              </w:rPr>
              <w:t>Sveučilišni specijalist obrazovnih znanosti  (univ. spec.)</w:t>
            </w:r>
          </w:p>
        </w:tc>
      </w:tr>
      <w:tr w:rsidR="005339A6" w14:paraId="12C05FA3" w14:textId="77777777" w:rsidTr="005339A6">
        <w:tc>
          <w:tcPr>
            <w:tcW w:w="9016" w:type="dxa"/>
          </w:tcPr>
          <w:p w14:paraId="6EBA651C" w14:textId="56783C99" w:rsidR="00205875" w:rsidRDefault="005339A6">
            <w:r>
              <w:t xml:space="preserve">Voditelj:         </w:t>
            </w:r>
            <w:r w:rsidR="006F1494" w:rsidRPr="006F1494">
              <w:rPr>
                <w:b/>
              </w:rPr>
              <w:t>prof.dr.sc. Marko Badrić</w:t>
            </w:r>
            <w:r>
              <w:t xml:space="preserve">                           </w:t>
            </w:r>
          </w:p>
          <w:p w14:paraId="281F0B15" w14:textId="00C6B5E4" w:rsidR="005339A6" w:rsidRPr="006F1494" w:rsidRDefault="00205875">
            <w:pPr>
              <w:rPr>
                <w:b/>
              </w:rPr>
            </w:pPr>
            <w:r>
              <w:t>(</w:t>
            </w:r>
            <w:r w:rsidR="005339A6">
              <w:t>mail</w:t>
            </w:r>
            <w:r>
              <w:t>)</w:t>
            </w:r>
            <w:r w:rsidR="006F1494">
              <w:t xml:space="preserve">              </w:t>
            </w:r>
            <w:r w:rsidR="006F1494" w:rsidRPr="006F1494">
              <w:rPr>
                <w:b/>
              </w:rPr>
              <w:t>marko.badric@ufzg.hr</w:t>
            </w:r>
          </w:p>
          <w:p w14:paraId="4FA547CD" w14:textId="61D03B42" w:rsidR="00205875" w:rsidRPr="005339A6" w:rsidRDefault="00205875"/>
        </w:tc>
      </w:tr>
      <w:tr w:rsidR="005339A6" w14:paraId="1CF8B34D" w14:textId="77777777" w:rsidTr="005339A6">
        <w:tc>
          <w:tcPr>
            <w:tcW w:w="9016" w:type="dxa"/>
          </w:tcPr>
          <w:p w14:paraId="649CB809" w14:textId="36BB9FB3" w:rsidR="00205875" w:rsidRDefault="005339A6">
            <w:r>
              <w:t xml:space="preserve">Zamjenik voditelja:        </w:t>
            </w:r>
            <w:r w:rsidR="006F1494">
              <w:t xml:space="preserve"> </w:t>
            </w:r>
            <w:r w:rsidR="006F1494" w:rsidRPr="006F1494">
              <w:rPr>
                <w:b/>
              </w:rPr>
              <w:t xml:space="preserve">prof.dr.sc. </w:t>
            </w:r>
            <w:r w:rsidR="006F1494">
              <w:rPr>
                <w:b/>
              </w:rPr>
              <w:t>Tajana Ljubin Golub</w:t>
            </w:r>
            <w:r>
              <w:t xml:space="preserve">         </w:t>
            </w:r>
          </w:p>
          <w:p w14:paraId="7921B3B9" w14:textId="42A3C3E1" w:rsidR="005339A6" w:rsidRPr="005339A6" w:rsidRDefault="00205875">
            <w:r>
              <w:t>(</w:t>
            </w:r>
            <w:r w:rsidR="005339A6">
              <w:t>mail</w:t>
            </w:r>
            <w:r>
              <w:t>)</w:t>
            </w:r>
            <w:r w:rsidR="006F1494">
              <w:t xml:space="preserve">                                 </w:t>
            </w:r>
            <w:r w:rsidR="006F1494" w:rsidRPr="006F1494">
              <w:rPr>
                <w:b/>
              </w:rPr>
              <w:t>tajana.ljubingolub@ufzg.hr</w:t>
            </w:r>
          </w:p>
        </w:tc>
      </w:tr>
      <w:tr w:rsidR="005339A6" w14:paraId="7465C172" w14:textId="77777777" w:rsidTr="005339A6">
        <w:tc>
          <w:tcPr>
            <w:tcW w:w="9016" w:type="dxa"/>
          </w:tcPr>
          <w:p w14:paraId="3FABC572" w14:textId="1DA7209F" w:rsidR="005339A6" w:rsidRDefault="005339A6">
            <w:r>
              <w:t>Vijeće doktorskog/poslijediplomskog specijalističkog studija:</w:t>
            </w:r>
          </w:p>
          <w:p w14:paraId="2F9B3553" w14:textId="77777777" w:rsidR="006F1494" w:rsidRDefault="006F1494"/>
          <w:p w14:paraId="1AE26A28" w14:textId="1F8746EE" w:rsidR="006F1494" w:rsidRPr="00FD1A8E" w:rsidRDefault="006F1494">
            <w:pPr>
              <w:rPr>
                <w:sz w:val="22"/>
                <w:szCs w:val="22"/>
              </w:rPr>
            </w:pPr>
            <w:r w:rsidRPr="00FD1A8E">
              <w:rPr>
                <w:sz w:val="22"/>
                <w:szCs w:val="22"/>
              </w:rPr>
              <w:t>prof.dr.sc. Marko Badrić, voditelj doktorskog studija</w:t>
            </w:r>
          </w:p>
          <w:p w14:paraId="20BEFE7D" w14:textId="77777777" w:rsidR="006F1494" w:rsidRPr="00FD1A8E" w:rsidRDefault="006F1494">
            <w:pPr>
              <w:rPr>
                <w:sz w:val="22"/>
                <w:szCs w:val="22"/>
              </w:rPr>
            </w:pPr>
            <w:r w:rsidRPr="00FD1A8E">
              <w:rPr>
                <w:sz w:val="22"/>
                <w:szCs w:val="22"/>
              </w:rPr>
              <w:t xml:space="preserve">prof.dr.sc. Tajana Ljubin Golub, zamjenica voditelja doktorskog studija  </w:t>
            </w:r>
          </w:p>
          <w:p w14:paraId="13B0D80B" w14:textId="77777777" w:rsidR="006F1494" w:rsidRPr="005E689B" w:rsidRDefault="006F1494">
            <w:pPr>
              <w:rPr>
                <w:sz w:val="22"/>
                <w:szCs w:val="22"/>
              </w:rPr>
            </w:pPr>
            <w:r w:rsidRPr="005E689B">
              <w:rPr>
                <w:sz w:val="22"/>
                <w:szCs w:val="22"/>
              </w:rPr>
              <w:t>prof.dr.sc. Siniša Opić, dekan</w:t>
            </w:r>
          </w:p>
          <w:p w14:paraId="19E0B3A9" w14:textId="77777777" w:rsidR="006F1494" w:rsidRPr="005E689B" w:rsidRDefault="006F1494">
            <w:pPr>
              <w:rPr>
                <w:sz w:val="22"/>
                <w:szCs w:val="22"/>
              </w:rPr>
            </w:pPr>
            <w:r w:rsidRPr="005E689B">
              <w:rPr>
                <w:sz w:val="22"/>
                <w:szCs w:val="22"/>
              </w:rPr>
              <w:t>prof.dr.sc.  Damir Velički, prodekan za znanost, umjetnost i međunarodnu suradnju</w:t>
            </w:r>
          </w:p>
          <w:p w14:paraId="2F96D119" w14:textId="43259851" w:rsidR="00205875" w:rsidRPr="005E689B" w:rsidRDefault="006F1494">
            <w:pPr>
              <w:rPr>
                <w:sz w:val="22"/>
                <w:szCs w:val="22"/>
              </w:rPr>
            </w:pPr>
            <w:r w:rsidRPr="005E689B">
              <w:rPr>
                <w:sz w:val="22"/>
                <w:szCs w:val="22"/>
              </w:rPr>
              <w:t xml:space="preserve">izv.prof.dr.sc. Višnja Rajić, prodekanica za nastavu i studente    </w:t>
            </w:r>
          </w:p>
          <w:p w14:paraId="14512D07" w14:textId="12C27D1C" w:rsidR="006F1494" w:rsidRPr="005E689B" w:rsidRDefault="006F1494">
            <w:pPr>
              <w:rPr>
                <w:sz w:val="22"/>
                <w:szCs w:val="22"/>
              </w:rPr>
            </w:pPr>
            <w:r w:rsidRPr="005E689B">
              <w:rPr>
                <w:sz w:val="22"/>
                <w:szCs w:val="22"/>
              </w:rPr>
              <w:t>prof.dr.sc. Tomislav Krznar, član</w:t>
            </w:r>
          </w:p>
          <w:p w14:paraId="4A465FBB" w14:textId="6BFB2AD5" w:rsidR="006F1494" w:rsidRPr="00FD1A8E" w:rsidRDefault="006F1494">
            <w:pPr>
              <w:rPr>
                <w:sz w:val="22"/>
                <w:szCs w:val="22"/>
              </w:rPr>
            </w:pPr>
            <w:r w:rsidRPr="005E689B">
              <w:rPr>
                <w:sz w:val="22"/>
                <w:szCs w:val="22"/>
              </w:rPr>
              <w:t>prof. emerita Dubravka Miljković, članica</w:t>
            </w:r>
          </w:p>
          <w:p w14:paraId="0C034474" w14:textId="0CE2535A" w:rsidR="00205875" w:rsidRPr="005339A6" w:rsidRDefault="00205875"/>
        </w:tc>
      </w:tr>
      <w:tr w:rsidR="005339A6" w14:paraId="28B30B38" w14:textId="77777777" w:rsidTr="005339A6">
        <w:tc>
          <w:tcPr>
            <w:tcW w:w="9016" w:type="dxa"/>
          </w:tcPr>
          <w:p w14:paraId="0719E8F6" w14:textId="6895D306" w:rsidR="000C1654" w:rsidRPr="005A799E" w:rsidRDefault="000C1654" w:rsidP="00A450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5A799E">
              <w:rPr>
                <w:rFonts w:cstheme="minorHAnsi"/>
                <w:sz w:val="22"/>
                <w:szCs w:val="22"/>
              </w:rPr>
              <w:t xml:space="preserve">Ukupno opterećenje iznosi 120 ECTS bodova koji su ravnomjerno raspoređeni po semestrima. </w:t>
            </w:r>
            <w:r w:rsidR="005A799E" w:rsidRPr="005A799E">
              <w:rPr>
                <w:rFonts w:cstheme="minorHAnsi"/>
                <w:sz w:val="22"/>
                <w:szCs w:val="22"/>
              </w:rPr>
              <w:t xml:space="preserve">U okviru interdisciplinarnog  programa ponuđena su i dva modula. Pedagoško-psihološki modul Poučavanje i cjeloživotno učenje  i modul Kineziološka edukacija u predškolskom i primarnom obrazovanju. </w:t>
            </w:r>
            <w:r w:rsidRPr="005A799E">
              <w:rPr>
                <w:rFonts w:cstheme="minorHAnsi"/>
                <w:sz w:val="22"/>
                <w:szCs w:val="22"/>
              </w:rPr>
              <w:t xml:space="preserve">U prvom semestru sluša se 3 obvezna kolegija (Teorije odgoja, </w:t>
            </w:r>
            <w:r w:rsidR="005A799E" w:rsidRPr="005A799E">
              <w:rPr>
                <w:rFonts w:cstheme="minorHAnsi"/>
                <w:sz w:val="22"/>
                <w:szCs w:val="22"/>
              </w:rPr>
              <w:t xml:space="preserve">Teorije kurikuluma, </w:t>
            </w:r>
            <w:r w:rsidRPr="005A799E">
              <w:rPr>
                <w:rFonts w:cstheme="minorHAnsi"/>
                <w:sz w:val="22"/>
                <w:szCs w:val="22"/>
              </w:rPr>
              <w:t>Metodologija istraživanja u obrazovnim znanostima</w:t>
            </w:r>
            <w:r w:rsidR="005A799E" w:rsidRPr="005A799E">
              <w:rPr>
                <w:rFonts w:cstheme="minorHAnsi"/>
                <w:sz w:val="22"/>
                <w:szCs w:val="22"/>
              </w:rPr>
              <w:t>)  te jedan obvezni/</w:t>
            </w:r>
            <w:r w:rsidRPr="005A799E">
              <w:rPr>
                <w:rFonts w:cstheme="minorHAnsi"/>
                <w:sz w:val="22"/>
                <w:szCs w:val="22"/>
              </w:rPr>
              <w:t xml:space="preserve">alternativni prema istraživačkom smjeru koji </w:t>
            </w:r>
            <w:r w:rsidR="005A799E" w:rsidRPr="005A799E">
              <w:rPr>
                <w:rFonts w:cstheme="minorHAnsi"/>
                <w:sz w:val="22"/>
                <w:szCs w:val="22"/>
              </w:rPr>
              <w:t>student samostalno odabire (Trendovi  razvoja obrazovanja u Europi  ili Kineziološka edukacija u obrazovnim sustavima Europske unije i svijeta). U drugom semestru studenti biraju jedan od obveznih/alternativnih kolegija prema istraživačkom smjeru (Psihologija cjeloživotnog razvoja ili Razvojna kineziologija), dva izborna kolegija i obavezno pohađanje Seminara za pripremu i izradu specijalističkog rada te time ostvaruju 30 ECTS bodova. U trećem semestru biraju 5 izbornih kolegija s liste ponuđenih i time ostvaruju 30 ECTS bodova. U četvrtom semestru obveze studenata odnose se na Izradu projekta i obrane specijalističkog rada pod vodstvom mentora.</w:t>
            </w:r>
          </w:p>
          <w:p w14:paraId="70C18E86" w14:textId="77777777" w:rsidR="000C1654" w:rsidRPr="005A799E" w:rsidRDefault="000C1654" w:rsidP="00A450B0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5A799E">
              <w:rPr>
                <w:rFonts w:cstheme="minorHAnsi"/>
                <w:sz w:val="22"/>
                <w:szCs w:val="22"/>
              </w:rPr>
              <w:t xml:space="preserve">U okviru modula </w:t>
            </w:r>
            <w:r w:rsidRPr="005A799E">
              <w:rPr>
                <w:rFonts w:cstheme="minorHAnsi"/>
                <w:i/>
                <w:sz w:val="22"/>
                <w:szCs w:val="22"/>
              </w:rPr>
              <w:t>Poučavanje i cjeloživotno učenje</w:t>
            </w:r>
            <w:r w:rsidRPr="005A799E">
              <w:rPr>
                <w:rFonts w:cstheme="minorHAnsi"/>
                <w:sz w:val="22"/>
                <w:szCs w:val="22"/>
              </w:rPr>
              <w:t xml:space="preserve">  studenti proširuju postojeća znanja i vještine,  stječu nova relevantna znanja, iskustva i vještine koje omogućuju kreativno rješavanje praktičnih problema u odgojno-obrazovnim ustanovama. Također, dobivaju spoznaje o suvremenim metodološkim i teorijskim pristupima poučavanju u kontekstu cjeloživotnog obrazovanja kao i razvijanje novih znanja za rješavanje složenih strukovnih problema. Isto tako, završetkom ovog studija moći će samostalno analizirati, kritički procijeniti i inovirati te implementirati suvremene tehnike i metode poučavanja odnosno učenja u kontekstu cjeloživotnog obrazovanja.</w:t>
            </w:r>
          </w:p>
          <w:p w14:paraId="4C85930E" w14:textId="77777777" w:rsidR="000C1654" w:rsidRPr="005A799E" w:rsidRDefault="000C1654" w:rsidP="00A450B0">
            <w:pPr>
              <w:pStyle w:val="NoSpacing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5A799E">
              <w:rPr>
                <w:rFonts w:asciiTheme="minorHAnsi" w:hAnsiTheme="minorHAnsi" w:cstheme="minorHAnsi"/>
              </w:rPr>
              <w:t xml:space="preserve">Odabirom modula </w:t>
            </w:r>
            <w:r w:rsidRPr="005A799E">
              <w:rPr>
                <w:rFonts w:asciiTheme="minorHAnsi" w:hAnsiTheme="minorHAnsi" w:cstheme="minorHAnsi"/>
                <w:i/>
              </w:rPr>
              <w:t>Kineziološka edukacija u predškolskom i primarnom obrazovanju</w:t>
            </w:r>
            <w:r w:rsidRPr="005A799E">
              <w:rPr>
                <w:rFonts w:asciiTheme="minorHAnsi" w:hAnsiTheme="minorHAnsi" w:cstheme="minorHAnsi"/>
              </w:rPr>
              <w:t xml:space="preserve"> stječu se znanja iz primijenjenih područja kineziologije, a nakon završetka studija studenti će biti osposobljeni za samostalnu primjenu teorijskih znanja u području kineziološke edukacije u predškolskom i mlađem školskom dobu s ciljem vrednovanja odgojno-obrazovnog procesa. Također, samostalno će moći </w:t>
            </w:r>
            <w:r w:rsidRPr="005A799E">
              <w:rPr>
                <w:rFonts w:asciiTheme="minorHAnsi" w:hAnsiTheme="minorHAnsi" w:cstheme="minorHAnsi"/>
              </w:rPr>
              <w:lastRenderedPageBreak/>
              <w:t xml:space="preserve">pristupiti  pronalaženju i prepoznavanju najrelevantnijih zakonitosti u odabiru modaliteta rada, metodičkih postupaka i valorizacije rada te njihova implementacija u nastavni proces. Isto tako njihova organizacijska osposobljenost biti će primjerena za provođenje različitih kinezioloških programa u izvannastavnim i izvanškolskim aktivnostima. </w:t>
            </w:r>
          </w:p>
          <w:p w14:paraId="219C0F6E" w14:textId="2C1EA9A7" w:rsidR="000C1654" w:rsidRPr="005A799E" w:rsidRDefault="000C1654" w:rsidP="00A450B0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</w:p>
          <w:p w14:paraId="121E1FB5" w14:textId="441A1DBF" w:rsidR="00212A7E" w:rsidRPr="005A799E" w:rsidRDefault="00C43526" w:rsidP="00A450B0">
            <w:p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5A799E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5339A6" w14:paraId="3CD9B519" w14:textId="77777777" w:rsidTr="005339A6">
        <w:tc>
          <w:tcPr>
            <w:tcW w:w="9016" w:type="dxa"/>
          </w:tcPr>
          <w:p w14:paraId="32BF36D5" w14:textId="204FBC7A" w:rsidR="000A2582" w:rsidRPr="00FD1A8E" w:rsidRDefault="00212A7E" w:rsidP="000A2582">
            <w:pPr>
              <w:rPr>
                <w:sz w:val="22"/>
                <w:szCs w:val="22"/>
              </w:rPr>
            </w:pPr>
            <w:r w:rsidRPr="00FD1A8E">
              <w:rPr>
                <w:sz w:val="22"/>
                <w:szCs w:val="22"/>
              </w:rPr>
              <w:lastRenderedPageBreak/>
              <w:t>Uvjeti za upis:</w:t>
            </w:r>
            <w:r w:rsidR="000A2582" w:rsidRPr="00FD1A8E">
              <w:rPr>
                <w:sz w:val="22"/>
                <w:szCs w:val="22"/>
              </w:rPr>
              <w:t xml:space="preserve"> Na doktorski studij mogu se upisati pristupnici koji su prethodno završili:</w:t>
            </w:r>
          </w:p>
          <w:p w14:paraId="6CA74A6A" w14:textId="6652662E" w:rsidR="000A2582" w:rsidRPr="00FD1A8E" w:rsidRDefault="000A2582" w:rsidP="000A2582">
            <w:pPr>
              <w:rPr>
                <w:sz w:val="22"/>
                <w:szCs w:val="22"/>
              </w:rPr>
            </w:pPr>
            <w:r w:rsidRPr="00FD1A8E">
              <w:rPr>
                <w:sz w:val="22"/>
                <w:szCs w:val="22"/>
              </w:rPr>
              <w:t xml:space="preserve">1. integrirani preddiplomski i diplomski učiteljski studij iz područja primarnog obrazovanja  </w:t>
            </w:r>
          </w:p>
          <w:p w14:paraId="68DEB7D2" w14:textId="766A47D3" w:rsidR="000A2582" w:rsidRPr="00FD1A8E" w:rsidRDefault="000A2582" w:rsidP="000A2582">
            <w:pPr>
              <w:rPr>
                <w:sz w:val="22"/>
                <w:szCs w:val="22"/>
              </w:rPr>
            </w:pPr>
            <w:r w:rsidRPr="00FD1A8E">
              <w:rPr>
                <w:sz w:val="22"/>
                <w:szCs w:val="22"/>
              </w:rPr>
              <w:t>2. diplomski sveučilišni studij Rani i predškolski odgoj i obrazovanje</w:t>
            </w:r>
          </w:p>
          <w:p w14:paraId="433EE21C" w14:textId="4778456A" w:rsidR="000A2582" w:rsidRPr="00014EBA" w:rsidRDefault="000A2582" w:rsidP="000A2582">
            <w:pPr>
              <w:rPr>
                <w:sz w:val="22"/>
                <w:szCs w:val="22"/>
              </w:rPr>
            </w:pPr>
            <w:r w:rsidRPr="00014EBA">
              <w:rPr>
                <w:sz w:val="22"/>
                <w:szCs w:val="22"/>
              </w:rPr>
              <w:t xml:space="preserve">3. </w:t>
            </w:r>
            <w:r w:rsidR="00014EBA" w:rsidRPr="00014EBA">
              <w:rPr>
                <w:sz w:val="22"/>
                <w:szCs w:val="22"/>
              </w:rPr>
              <w:t>sveučilišne diplomske ili dodiplomske studije nastavničkih usmjerenja iz srodnih polja: obrazovnih znanost</w:t>
            </w:r>
          </w:p>
          <w:p w14:paraId="5E751873" w14:textId="6C235EC3" w:rsidR="000A2582" w:rsidRPr="00D63802" w:rsidRDefault="000A2582" w:rsidP="000A2582">
            <w:pPr>
              <w:rPr>
                <w:sz w:val="22"/>
                <w:szCs w:val="22"/>
              </w:rPr>
            </w:pPr>
            <w:r w:rsidRPr="00D63802">
              <w:rPr>
                <w:sz w:val="22"/>
                <w:szCs w:val="22"/>
              </w:rPr>
              <w:t xml:space="preserve">4. </w:t>
            </w:r>
            <w:r w:rsidR="00D63802" w:rsidRPr="00D63802">
              <w:rPr>
                <w:sz w:val="22"/>
                <w:szCs w:val="22"/>
              </w:rPr>
              <w:t>stručne dodiplomske studije ustrojene na nastavničkim fakultetima prema programima koji su bili na snazi prije stupanja na snagu Zakona o znanstvenoj djelatnosti i visokom obrazovanju (“Narodne novine” br. 123/03, 105/04, 174/04, 2/07 – Odluka USRH, 46/07, 45/09. i 63/11.)</w:t>
            </w:r>
          </w:p>
          <w:p w14:paraId="09697581" w14:textId="77777777" w:rsidR="00D63802" w:rsidRDefault="000A2582" w:rsidP="00D63802">
            <w:pPr>
              <w:rPr>
                <w:sz w:val="22"/>
                <w:szCs w:val="22"/>
              </w:rPr>
            </w:pPr>
            <w:r w:rsidRPr="00FD1A8E">
              <w:rPr>
                <w:sz w:val="22"/>
                <w:szCs w:val="22"/>
              </w:rPr>
              <w:t>5. moguć je upis svih drugih stručnjaka koji su završili nenastavničke fakultete, ali su nakon studija stekli licencu za organiziranje nastave u osnovnim i srednjim školama te cjeloživotnom obrazovanju mladih i odraslih stjecanjem dodatnih pedagoških kompetencija za rad u školi i odgoju (program 60 ECTS-a ili s tim izjednačeni programi)</w:t>
            </w:r>
          </w:p>
          <w:p w14:paraId="4D4CC7C2" w14:textId="5124BCBD" w:rsidR="00D63802" w:rsidRPr="00D63802" w:rsidRDefault="00D63802" w:rsidP="00D63802">
            <w:pPr>
              <w:rPr>
                <w:sz w:val="22"/>
                <w:szCs w:val="22"/>
              </w:rPr>
            </w:pPr>
            <w:r w:rsidRPr="00D63802">
              <w:rPr>
                <w:sz w:val="22"/>
                <w:szCs w:val="22"/>
              </w:rPr>
              <w:t>6. Pristupnicima koji su stekli magisterij znanosti ili apsolvirali na srodnom poslijediplomskom studiju Vijeće studija može priznati dio obveza na ovom studiju, odnosno odrediti preostale obveze na studiju.</w:t>
            </w:r>
          </w:p>
          <w:p w14:paraId="142589AA" w14:textId="600C274E" w:rsidR="00D63802" w:rsidRPr="00FD1A8E" w:rsidRDefault="00D63802" w:rsidP="000A2582">
            <w:pPr>
              <w:rPr>
                <w:sz w:val="22"/>
                <w:szCs w:val="22"/>
              </w:rPr>
            </w:pPr>
          </w:p>
          <w:p w14:paraId="75F23E46" w14:textId="77777777" w:rsidR="000A2582" w:rsidRPr="00014EBA" w:rsidRDefault="000A2582" w:rsidP="000A2582">
            <w:pPr>
              <w:rPr>
                <w:sz w:val="22"/>
                <w:szCs w:val="22"/>
              </w:rPr>
            </w:pPr>
            <w:r w:rsidRPr="00014EBA">
              <w:rPr>
                <w:sz w:val="22"/>
                <w:szCs w:val="22"/>
              </w:rPr>
              <w:t xml:space="preserve">Dodatni uvjeti: </w:t>
            </w:r>
          </w:p>
          <w:p w14:paraId="16973F8F" w14:textId="77777777" w:rsidR="00014EBA" w:rsidRPr="00014EBA" w:rsidRDefault="000A2582" w:rsidP="00014EBA">
            <w:pPr>
              <w:rPr>
                <w:sz w:val="22"/>
                <w:szCs w:val="22"/>
              </w:rPr>
            </w:pPr>
            <w:r w:rsidRPr="00014EBA">
              <w:rPr>
                <w:sz w:val="22"/>
                <w:szCs w:val="22"/>
              </w:rPr>
              <w:t>1. prosjek ocjena ostvaren na diplomskom st</w:t>
            </w:r>
            <w:r w:rsidR="00014EBA" w:rsidRPr="00014EBA">
              <w:rPr>
                <w:sz w:val="22"/>
                <w:szCs w:val="22"/>
              </w:rPr>
              <w:t>udiju s minimalnim prosjekom 3,6</w:t>
            </w:r>
            <w:r w:rsidRPr="00014EBA">
              <w:rPr>
                <w:sz w:val="22"/>
                <w:szCs w:val="22"/>
              </w:rPr>
              <w:t>0</w:t>
            </w:r>
          </w:p>
          <w:p w14:paraId="61A83A21" w14:textId="0684254A" w:rsidR="00014EBA" w:rsidRPr="00014EBA" w:rsidRDefault="000A2582" w:rsidP="00014EBA">
            <w:pPr>
              <w:rPr>
                <w:sz w:val="22"/>
                <w:szCs w:val="22"/>
              </w:rPr>
            </w:pPr>
            <w:r w:rsidRPr="00014EBA">
              <w:rPr>
                <w:sz w:val="22"/>
                <w:szCs w:val="22"/>
              </w:rPr>
              <w:t xml:space="preserve">2. </w:t>
            </w:r>
            <w:r w:rsidR="00014EBA" w:rsidRPr="00014EBA">
              <w:rPr>
                <w:sz w:val="22"/>
                <w:szCs w:val="22"/>
              </w:rPr>
              <w:t>poznavanje engleskog ili drugog svjetskog jezika na razini B2,</w:t>
            </w:r>
          </w:p>
          <w:p w14:paraId="6C70C245" w14:textId="61DC1BEF" w:rsidR="000A2582" w:rsidRPr="00FD1A8E" w:rsidRDefault="00014EBA" w:rsidP="00014EBA">
            <w:pPr>
              <w:rPr>
                <w:sz w:val="22"/>
                <w:szCs w:val="22"/>
              </w:rPr>
            </w:pPr>
            <w:r w:rsidRPr="00014EBA">
              <w:rPr>
                <w:sz w:val="22"/>
                <w:szCs w:val="22"/>
              </w:rPr>
              <w:t>3. motivacija za stjecaje specijalističkih kompetencija ta za znanstveno-istraživački rad (usmeni razgovor povjerenstva s kandidatom</w:t>
            </w:r>
          </w:p>
        </w:tc>
      </w:tr>
      <w:tr w:rsidR="005339A6" w14:paraId="7FFBD798" w14:textId="77777777" w:rsidTr="005339A6">
        <w:tc>
          <w:tcPr>
            <w:tcW w:w="9016" w:type="dxa"/>
          </w:tcPr>
          <w:p w14:paraId="706C2607" w14:textId="3C9DD707" w:rsidR="005339A6" w:rsidRDefault="00212A7E">
            <w:r>
              <w:t>Cijena studija po semestru:</w:t>
            </w:r>
            <w:r w:rsidR="000A2582">
              <w:t xml:space="preserve"> </w:t>
            </w:r>
            <w:r w:rsidR="00C43526">
              <w:t xml:space="preserve"> </w:t>
            </w:r>
            <w:r w:rsidR="00A450B0" w:rsidRPr="00A450B0">
              <w:rPr>
                <w:b/>
                <w:sz w:val="22"/>
                <w:szCs w:val="22"/>
              </w:rPr>
              <w:t>1</w:t>
            </w:r>
            <w:r w:rsidR="00A450B0">
              <w:rPr>
                <w:b/>
                <w:sz w:val="22"/>
                <w:szCs w:val="22"/>
              </w:rPr>
              <w:t>.128,</w:t>
            </w:r>
            <w:r w:rsidR="00A450B0" w:rsidRPr="00A450B0">
              <w:rPr>
                <w:b/>
                <w:sz w:val="22"/>
                <w:szCs w:val="22"/>
              </w:rPr>
              <w:t xml:space="preserve">14 </w:t>
            </w:r>
            <w:r w:rsidR="00C43526" w:rsidRPr="00C43526">
              <w:rPr>
                <w:b/>
                <w:sz w:val="22"/>
                <w:szCs w:val="22"/>
              </w:rPr>
              <w:t>EUR</w:t>
            </w:r>
          </w:p>
        </w:tc>
      </w:tr>
    </w:tbl>
    <w:p w14:paraId="3558B8E4" w14:textId="77777777" w:rsidR="005339A6" w:rsidRDefault="005339A6"/>
    <w:sectPr w:rsidR="00533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72306"/>
    <w:multiLevelType w:val="hybridMultilevel"/>
    <w:tmpl w:val="97B0C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041C9"/>
    <w:multiLevelType w:val="hybridMultilevel"/>
    <w:tmpl w:val="F828C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915743">
    <w:abstractNumId w:val="0"/>
  </w:num>
  <w:num w:numId="2" w16cid:durableId="52783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9A6"/>
    <w:rsid w:val="00014EBA"/>
    <w:rsid w:val="000A2582"/>
    <w:rsid w:val="000C1654"/>
    <w:rsid w:val="00205875"/>
    <w:rsid w:val="00212A7E"/>
    <w:rsid w:val="005339A6"/>
    <w:rsid w:val="005A799E"/>
    <w:rsid w:val="005E689B"/>
    <w:rsid w:val="006F1494"/>
    <w:rsid w:val="00A450B0"/>
    <w:rsid w:val="00B90231"/>
    <w:rsid w:val="00C43526"/>
    <w:rsid w:val="00C5435F"/>
    <w:rsid w:val="00D63802"/>
    <w:rsid w:val="00FD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E3C55E"/>
  <w15:chartTrackingRefBased/>
  <w15:docId w15:val="{7A75B54C-A76A-4749-8711-046F94A5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EB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0C165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DefaultParagraphFont"/>
    <w:rsid w:val="000C1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43DF4-DBDC-4F54-8F8A-E9DDFD1B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Velički</dc:creator>
  <cp:keywords/>
  <dc:description/>
  <cp:lastModifiedBy>Damir Velički</cp:lastModifiedBy>
  <cp:revision>8</cp:revision>
  <dcterms:created xsi:type="dcterms:W3CDTF">2023-11-18T12:01:00Z</dcterms:created>
  <dcterms:modified xsi:type="dcterms:W3CDTF">2023-12-06T10:42:00Z</dcterms:modified>
</cp:coreProperties>
</file>