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39A6" w14:paraId="7ECECA09" w14:textId="77777777" w:rsidTr="005339A6">
        <w:tc>
          <w:tcPr>
            <w:tcW w:w="9016" w:type="dxa"/>
          </w:tcPr>
          <w:p w14:paraId="348CE7E7" w14:textId="79FF7537" w:rsidR="005339A6" w:rsidRDefault="005339A6">
            <w:pPr>
              <w:rPr>
                <w:lang w:val="hr-HR"/>
              </w:rPr>
            </w:pPr>
            <w:r>
              <w:rPr>
                <w:lang w:val="hr-HR"/>
              </w:rPr>
              <w:t>Naziv doktorskog</w:t>
            </w:r>
            <w:r w:rsidR="00D53779">
              <w:rPr>
                <w:lang w:val="hr-HR"/>
              </w:rPr>
              <w:t xml:space="preserve"> </w:t>
            </w:r>
            <w:r>
              <w:rPr>
                <w:lang w:val="hr-HR"/>
              </w:rPr>
              <w:t>studija:</w:t>
            </w:r>
          </w:p>
          <w:p w14:paraId="7542A86C" w14:textId="4629B475" w:rsidR="00476D6C" w:rsidRPr="00476D6C" w:rsidRDefault="00476D6C" w:rsidP="00476D6C">
            <w:pPr>
              <w:pStyle w:val="NormalWeb"/>
            </w:pPr>
            <w:r w:rsidRPr="00476D6C">
              <w:rPr>
                <w:rFonts w:ascii="Calibri" w:hAnsi="Calibri"/>
              </w:rPr>
              <w:t xml:space="preserve">JEZIČNI, KNJIŽEVNI I KULTURNI KONTEKST RANOGA, PREDŠKOLSKOGA I PRIMARNOGA OBRAZOVANJA </w:t>
            </w:r>
          </w:p>
          <w:p w14:paraId="0F099CBD" w14:textId="0AE7907A" w:rsidR="00205875" w:rsidRPr="005339A6" w:rsidRDefault="00205875">
            <w:pPr>
              <w:rPr>
                <w:lang w:val="hr-HR"/>
              </w:rPr>
            </w:pPr>
          </w:p>
        </w:tc>
      </w:tr>
      <w:tr w:rsidR="005339A6" w14:paraId="007D348E" w14:textId="77777777" w:rsidTr="005339A6">
        <w:tc>
          <w:tcPr>
            <w:tcW w:w="9016" w:type="dxa"/>
          </w:tcPr>
          <w:p w14:paraId="5E29B121" w14:textId="640A9EDF" w:rsidR="005339A6" w:rsidRPr="00476D6C" w:rsidRDefault="005339A6" w:rsidP="00476D6C">
            <w:pPr>
              <w:pStyle w:val="NormalWeb"/>
              <w:rPr>
                <w:color w:val="000000" w:themeColor="text1"/>
              </w:rPr>
            </w:pPr>
            <w:r w:rsidRPr="00476D6C">
              <w:rPr>
                <w:color w:val="000000" w:themeColor="text1"/>
              </w:rPr>
              <w:t>Znanstveno područje:</w:t>
            </w:r>
            <w:r w:rsidR="00476D6C" w:rsidRPr="00476D6C">
              <w:rPr>
                <w:color w:val="000000" w:themeColor="text1"/>
              </w:rPr>
              <w:t xml:space="preserve"> </w:t>
            </w:r>
            <w:r w:rsidR="00476D6C" w:rsidRPr="00476D6C">
              <w:rPr>
                <w:rFonts w:ascii="Calibri" w:hAnsi="Calibri"/>
                <w:color w:val="000000" w:themeColor="text1"/>
                <w:sz w:val="22"/>
                <w:szCs w:val="22"/>
              </w:rPr>
              <w:t>INTERDISCIPLINARNO PODRUČJA ZNANOSTI</w:t>
            </w:r>
          </w:p>
        </w:tc>
      </w:tr>
      <w:tr w:rsidR="005339A6" w14:paraId="1F529AE0" w14:textId="77777777" w:rsidTr="005339A6">
        <w:tc>
          <w:tcPr>
            <w:tcW w:w="9016" w:type="dxa"/>
          </w:tcPr>
          <w:p w14:paraId="5E55DED6" w14:textId="5976A454" w:rsidR="005339A6" w:rsidRPr="005339A6" w:rsidRDefault="005339A6">
            <w:pPr>
              <w:rPr>
                <w:lang w:val="hr-HR"/>
              </w:rPr>
            </w:pPr>
            <w:r>
              <w:rPr>
                <w:lang w:val="hr-HR"/>
              </w:rPr>
              <w:t>Polje:</w:t>
            </w:r>
            <w:r w:rsidR="00476D6C">
              <w:rPr>
                <w:lang w:val="hr-HR"/>
              </w:rPr>
              <w:t xml:space="preserve"> obrazovne znanosti</w:t>
            </w:r>
          </w:p>
        </w:tc>
      </w:tr>
      <w:tr w:rsidR="005339A6" w14:paraId="5621F284" w14:textId="77777777" w:rsidTr="005339A6">
        <w:tc>
          <w:tcPr>
            <w:tcW w:w="9016" w:type="dxa"/>
          </w:tcPr>
          <w:p w14:paraId="3F0C4E3B" w14:textId="0550F0C7" w:rsidR="005339A6" w:rsidRPr="005339A6" w:rsidRDefault="005339A6">
            <w:pPr>
              <w:rPr>
                <w:lang w:val="hr-HR"/>
              </w:rPr>
            </w:pPr>
            <w:r>
              <w:rPr>
                <w:lang w:val="hr-HR"/>
              </w:rPr>
              <w:t>Trajanje studija:</w:t>
            </w:r>
            <w:r w:rsidR="00476D6C">
              <w:rPr>
                <w:lang w:val="hr-HR"/>
              </w:rPr>
              <w:t xml:space="preserve"> 3 godine</w:t>
            </w:r>
          </w:p>
        </w:tc>
      </w:tr>
      <w:tr w:rsidR="005339A6" w14:paraId="0EF45D20" w14:textId="77777777" w:rsidTr="005339A6">
        <w:tc>
          <w:tcPr>
            <w:tcW w:w="9016" w:type="dxa"/>
          </w:tcPr>
          <w:p w14:paraId="6F619DEC" w14:textId="07B82CD6" w:rsidR="005339A6" w:rsidRPr="005339A6" w:rsidRDefault="005339A6" w:rsidP="00476D6C">
            <w:pPr>
              <w:pStyle w:val="NormalWeb"/>
            </w:pPr>
            <w:r>
              <w:t>Akademski stupanj:</w:t>
            </w:r>
            <w:r w:rsidR="00476D6C">
              <w:t xml:space="preserve"> </w:t>
            </w:r>
            <w:r w:rsidR="00476D6C">
              <w:rPr>
                <w:rFonts w:ascii="Calibri" w:hAnsi="Calibri"/>
                <w:color w:val="1E5666"/>
                <w:sz w:val="22"/>
                <w:szCs w:val="22"/>
              </w:rPr>
              <w:t xml:space="preserve">Dr. sc. obrazovnih znanosti </w:t>
            </w:r>
          </w:p>
        </w:tc>
      </w:tr>
      <w:tr w:rsidR="005339A6" w14:paraId="12C05FA3" w14:textId="77777777" w:rsidTr="005339A6">
        <w:tc>
          <w:tcPr>
            <w:tcW w:w="9016" w:type="dxa"/>
          </w:tcPr>
          <w:p w14:paraId="1D390E2B" w14:textId="0ADC06D2" w:rsidR="00476D6C" w:rsidRDefault="005339A6">
            <w:pPr>
              <w:rPr>
                <w:lang w:val="hr-HR"/>
              </w:rPr>
            </w:pPr>
            <w:r>
              <w:rPr>
                <w:lang w:val="hr-HR"/>
              </w:rPr>
              <w:t xml:space="preserve">Voditelj:       </w:t>
            </w:r>
            <w:r w:rsidR="00476D6C">
              <w:rPr>
                <w:lang w:val="hr-HR"/>
              </w:rPr>
              <w:t>Katarina Aladrović Slovaček</w:t>
            </w:r>
          </w:p>
          <w:p w14:paraId="6EBA651C" w14:textId="4327417B" w:rsidR="00205875" w:rsidRDefault="005339A6">
            <w:pPr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  <w:hyperlink r:id="rId5" w:history="1">
              <w:r w:rsidR="00476D6C" w:rsidRPr="009656A4">
                <w:rPr>
                  <w:rStyle w:val="Hyperlink"/>
                  <w:lang w:val="hr-HR"/>
                </w:rPr>
                <w:t>katarina.aladrovic@ufzg.hr</w:t>
              </w:r>
            </w:hyperlink>
            <w:r w:rsidR="00476D6C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    </w:t>
            </w:r>
            <w:r w:rsidR="00476D6C">
              <w:rPr>
                <w:lang w:val="hr-HR"/>
              </w:rPr>
              <w:t xml:space="preserve">ili </w:t>
            </w:r>
            <w:hyperlink r:id="rId6" w:history="1">
              <w:r w:rsidR="00476D6C" w:rsidRPr="009656A4">
                <w:rPr>
                  <w:rStyle w:val="Hyperlink"/>
                  <w:lang w:val="hr-HR"/>
                </w:rPr>
                <w:t>kaladrovic@gmail.com</w:t>
              </w:r>
            </w:hyperlink>
            <w:r w:rsidR="00476D6C">
              <w:rPr>
                <w:lang w:val="hr-HR"/>
              </w:rPr>
              <w:t xml:space="preserve"> </w:t>
            </w:r>
            <w:r>
              <w:rPr>
                <w:lang w:val="hr-HR"/>
              </w:rPr>
              <w:t xml:space="preserve">                       </w:t>
            </w:r>
          </w:p>
          <w:p w14:paraId="281F0B15" w14:textId="1A893F22" w:rsidR="005339A6" w:rsidRDefault="00205875">
            <w:pPr>
              <w:rPr>
                <w:lang w:val="hr-HR"/>
              </w:rPr>
            </w:pPr>
            <w:r>
              <w:rPr>
                <w:lang w:val="hr-HR"/>
              </w:rPr>
              <w:t>(</w:t>
            </w:r>
            <w:r w:rsidR="005339A6">
              <w:rPr>
                <w:lang w:val="hr-HR"/>
              </w:rPr>
              <w:t>mail</w:t>
            </w:r>
            <w:r>
              <w:rPr>
                <w:lang w:val="hr-HR"/>
              </w:rPr>
              <w:t>)</w:t>
            </w:r>
          </w:p>
          <w:p w14:paraId="4FA547CD" w14:textId="61D03B42" w:rsidR="00205875" w:rsidRPr="005339A6" w:rsidRDefault="00205875">
            <w:pPr>
              <w:rPr>
                <w:lang w:val="hr-HR"/>
              </w:rPr>
            </w:pPr>
          </w:p>
        </w:tc>
      </w:tr>
      <w:tr w:rsidR="005339A6" w14:paraId="1CF8B34D" w14:textId="77777777" w:rsidTr="005339A6">
        <w:tc>
          <w:tcPr>
            <w:tcW w:w="9016" w:type="dxa"/>
          </w:tcPr>
          <w:p w14:paraId="2306CEEA" w14:textId="77777777" w:rsidR="00476D6C" w:rsidRDefault="005339A6">
            <w:pPr>
              <w:rPr>
                <w:lang w:val="hr-HR"/>
              </w:rPr>
            </w:pPr>
            <w:r>
              <w:rPr>
                <w:lang w:val="hr-HR"/>
              </w:rPr>
              <w:t xml:space="preserve">Zamjenik voditelja:        </w:t>
            </w:r>
            <w:r w:rsidR="00476D6C">
              <w:rPr>
                <w:lang w:val="hr-HR"/>
              </w:rPr>
              <w:t xml:space="preserve">Antonija Balić </w:t>
            </w:r>
          </w:p>
          <w:p w14:paraId="649CB809" w14:textId="7C85C943" w:rsidR="00205875" w:rsidRDefault="00000000">
            <w:pPr>
              <w:rPr>
                <w:lang w:val="hr-HR"/>
              </w:rPr>
            </w:pPr>
            <w:hyperlink r:id="rId7" w:history="1">
              <w:r w:rsidR="00476D6C" w:rsidRPr="009656A4">
                <w:rPr>
                  <w:rStyle w:val="Hyperlink"/>
                  <w:lang w:val="hr-HR"/>
                </w:rPr>
                <w:t>antonija.balic248@gmail.com</w:t>
              </w:r>
            </w:hyperlink>
            <w:r w:rsidR="00476D6C">
              <w:rPr>
                <w:lang w:val="hr-HR"/>
              </w:rPr>
              <w:t xml:space="preserve"> </w:t>
            </w:r>
            <w:r w:rsidR="005339A6">
              <w:rPr>
                <w:lang w:val="hr-HR"/>
              </w:rPr>
              <w:t xml:space="preserve">         </w:t>
            </w:r>
            <w:r w:rsidR="00476D6C">
              <w:rPr>
                <w:lang w:val="hr-HR"/>
              </w:rPr>
              <w:t xml:space="preserve">ili </w:t>
            </w:r>
            <w:hyperlink r:id="rId8" w:history="1">
              <w:r w:rsidR="00476D6C" w:rsidRPr="009656A4">
                <w:rPr>
                  <w:rStyle w:val="Hyperlink"/>
                  <w:lang w:val="hr-HR"/>
                </w:rPr>
                <w:t>antonija.balic-simrak@ufzg.hr</w:t>
              </w:r>
            </w:hyperlink>
            <w:r w:rsidR="00476D6C">
              <w:rPr>
                <w:lang w:val="hr-HR"/>
              </w:rPr>
              <w:t xml:space="preserve"> </w:t>
            </w:r>
          </w:p>
          <w:p w14:paraId="7921B3B9" w14:textId="13901BDA" w:rsidR="005339A6" w:rsidRPr="005339A6" w:rsidRDefault="00205875">
            <w:pPr>
              <w:rPr>
                <w:lang w:val="hr-HR"/>
              </w:rPr>
            </w:pPr>
            <w:r>
              <w:rPr>
                <w:lang w:val="hr-HR"/>
              </w:rPr>
              <w:t>(</w:t>
            </w:r>
            <w:r w:rsidR="005339A6">
              <w:rPr>
                <w:lang w:val="hr-HR"/>
              </w:rPr>
              <w:t>mail</w:t>
            </w:r>
            <w:r>
              <w:rPr>
                <w:lang w:val="hr-HR"/>
              </w:rPr>
              <w:t>)</w:t>
            </w:r>
          </w:p>
        </w:tc>
      </w:tr>
      <w:tr w:rsidR="005339A6" w14:paraId="7465C172" w14:textId="77777777" w:rsidTr="005339A6">
        <w:tc>
          <w:tcPr>
            <w:tcW w:w="9016" w:type="dxa"/>
          </w:tcPr>
          <w:p w14:paraId="3FABC572" w14:textId="3386FBC3" w:rsidR="005339A6" w:rsidRDefault="005339A6">
            <w:pPr>
              <w:rPr>
                <w:lang w:val="hr-HR"/>
              </w:rPr>
            </w:pPr>
            <w:r>
              <w:rPr>
                <w:lang w:val="hr-HR"/>
              </w:rPr>
              <w:t>Vijeće doktorskog/poslijediplomskog specijalističkog studija:</w:t>
            </w:r>
          </w:p>
          <w:p w14:paraId="0259278A" w14:textId="77777777" w:rsidR="00476D6C" w:rsidRDefault="00476D6C">
            <w:pPr>
              <w:rPr>
                <w:lang w:val="hr-HR"/>
              </w:rPr>
            </w:pPr>
          </w:p>
          <w:p w14:paraId="5C753B62" w14:textId="2AFE8C4D" w:rsidR="00476D6C" w:rsidRDefault="00476D6C">
            <w:pPr>
              <w:rPr>
                <w:lang w:val="hr-HR"/>
              </w:rPr>
            </w:pPr>
            <w:r>
              <w:rPr>
                <w:lang w:val="hr-HR"/>
              </w:rPr>
              <w:t>prof. dr. sc. Siniša Opić</w:t>
            </w:r>
          </w:p>
          <w:p w14:paraId="76708ADC" w14:textId="2A4B32DD" w:rsidR="00476D6C" w:rsidRDefault="00476D6C">
            <w:pPr>
              <w:rPr>
                <w:lang w:val="hr-HR"/>
              </w:rPr>
            </w:pPr>
            <w:r>
              <w:rPr>
                <w:lang w:val="hr-HR"/>
              </w:rPr>
              <w:t>prof. dr. sc. Damir Velički</w:t>
            </w:r>
          </w:p>
          <w:p w14:paraId="05E5AF81" w14:textId="230EB4AD" w:rsidR="00476D6C" w:rsidRDefault="00476D6C">
            <w:pPr>
              <w:rPr>
                <w:lang w:val="hr-HR"/>
              </w:rPr>
            </w:pPr>
            <w:r>
              <w:rPr>
                <w:lang w:val="hr-HR"/>
              </w:rPr>
              <w:t>prof. dr. sc. Lidija Cvikić</w:t>
            </w:r>
          </w:p>
          <w:p w14:paraId="06361AF5" w14:textId="02D9CA28" w:rsidR="00476D6C" w:rsidRDefault="00476D6C">
            <w:pPr>
              <w:rPr>
                <w:lang w:val="hr-HR"/>
              </w:rPr>
            </w:pPr>
            <w:r>
              <w:rPr>
                <w:lang w:val="hr-HR"/>
              </w:rPr>
              <w:t>prof. dr. sc. Antonija Balić</w:t>
            </w:r>
          </w:p>
          <w:p w14:paraId="1A0305DF" w14:textId="1CE074D3" w:rsidR="00476D6C" w:rsidRDefault="00476D6C">
            <w:pPr>
              <w:rPr>
                <w:lang w:val="hr-HR"/>
              </w:rPr>
            </w:pPr>
            <w:r>
              <w:rPr>
                <w:lang w:val="hr-HR"/>
              </w:rPr>
              <w:t>izv. prof. dr. sc. Višnja Rajič</w:t>
            </w:r>
          </w:p>
          <w:p w14:paraId="73E3E057" w14:textId="21EB147D" w:rsidR="00476D6C" w:rsidRDefault="00476D6C">
            <w:pPr>
              <w:rPr>
                <w:lang w:val="hr-HR"/>
              </w:rPr>
            </w:pPr>
            <w:r>
              <w:rPr>
                <w:lang w:val="hr-HR"/>
              </w:rPr>
              <w:t>izv. prof. dr. sc. Kristina Cergol</w:t>
            </w:r>
          </w:p>
          <w:p w14:paraId="527DCED5" w14:textId="7CDC5039" w:rsidR="00476D6C" w:rsidRDefault="00476D6C">
            <w:pPr>
              <w:rPr>
                <w:lang w:val="hr-HR"/>
              </w:rPr>
            </w:pPr>
            <w:r>
              <w:rPr>
                <w:lang w:val="hr-HR"/>
              </w:rPr>
              <w:t>izv. prof. dr. sc. Katarina Aladrović Slovaček</w:t>
            </w:r>
          </w:p>
          <w:p w14:paraId="3C2BB309" w14:textId="77777777" w:rsidR="00205875" w:rsidRDefault="00205875">
            <w:pPr>
              <w:rPr>
                <w:lang w:val="hr-HR"/>
              </w:rPr>
            </w:pPr>
          </w:p>
          <w:p w14:paraId="0C034474" w14:textId="0CE2535A" w:rsidR="00205875" w:rsidRPr="005339A6" w:rsidRDefault="00205875">
            <w:pPr>
              <w:rPr>
                <w:lang w:val="hr-HR"/>
              </w:rPr>
            </w:pPr>
          </w:p>
        </w:tc>
      </w:tr>
      <w:tr w:rsidR="005339A6" w14:paraId="28B30B38" w14:textId="77777777" w:rsidTr="005339A6">
        <w:tc>
          <w:tcPr>
            <w:tcW w:w="9016" w:type="dxa"/>
          </w:tcPr>
          <w:p w14:paraId="6C8FCA33" w14:textId="10386184" w:rsidR="00476D6C" w:rsidRPr="008F0675" w:rsidRDefault="00476D6C" w:rsidP="008F0675">
            <w:pPr>
              <w:pStyle w:val="NormalWeb"/>
              <w:jc w:val="both"/>
              <w:rPr>
                <w:rFonts w:asciiTheme="minorHAnsi" w:hAnsiTheme="minorHAnsi"/>
              </w:rPr>
            </w:pPr>
            <w:r w:rsidRPr="008F0675">
              <w:rPr>
                <w:rFonts w:asciiTheme="minorHAnsi" w:hAnsiTheme="minorHAnsi"/>
                <w:sz w:val="22"/>
                <w:szCs w:val="22"/>
              </w:rPr>
              <w:t xml:space="preserve">Trajanje poslijediplomskoga doktorskoga studija </w:t>
            </w:r>
            <w:r w:rsidR="008F0675">
              <w:rPr>
                <w:rFonts w:asciiTheme="minorHAnsi" w:hAnsiTheme="minorHAnsi"/>
                <w:sz w:val="22"/>
                <w:szCs w:val="22"/>
              </w:rPr>
              <w:t xml:space="preserve">Jezični, književni i kulturni kontekst ranoga, predškolskoga i primarnoga obrazovanja </w:t>
            </w:r>
            <w:r w:rsidRPr="008F0675">
              <w:rPr>
                <w:rFonts w:asciiTheme="minorHAnsi" w:hAnsiTheme="minorHAnsi"/>
                <w:sz w:val="22"/>
                <w:szCs w:val="22"/>
              </w:rPr>
              <w:t>je tri godine, odnosno šest semestara. Ukupno je opterećenje 180 ECTS bodova. Riječ je o interdisciplinarnome doktorskome programu bez istaknutih smjerova ili modula, u kojemu se različitost očituje u odabiru divergiranih obveznih, alternativnih obveznih i izbornih sadržaja iz područja društvenih i humanističkih znanosti te znanosti o umjetnosti. Prvi i drugi semestar planirani su kao općeobrazovni program koji čine ukupno četiri kolegija, slušanjem kojih se stječu teorijsko-znanstvene i metodološko-epistemološke kompetencije. U prvome su semestru predviđena dva obvezna kolegija koje slušaju svi polaznici (</w:t>
            </w:r>
            <w:r w:rsidRPr="008F0675">
              <w:rPr>
                <w:rFonts w:asciiTheme="minorHAnsi" w:hAnsiTheme="minorHAnsi"/>
                <w:i/>
                <w:iCs/>
                <w:sz w:val="22"/>
                <w:szCs w:val="22"/>
              </w:rPr>
              <w:t>Jezik, književnost i kultura iz perspektive odgoja i obrazovanja – 10 ECTS bodova; Metodologija istraživanja u društvenim i humanističkim znanostima – 10 ECTS bodova</w:t>
            </w:r>
            <w:r w:rsidRPr="008F0675">
              <w:rPr>
                <w:rFonts w:asciiTheme="minorHAnsi" w:hAnsiTheme="minorHAnsi"/>
                <w:sz w:val="22"/>
                <w:szCs w:val="22"/>
              </w:rPr>
              <w:t>). U drugome semestru sluša se treći obvezni kolegij (</w:t>
            </w:r>
            <w:r w:rsidRPr="008F0675">
              <w:rPr>
                <w:rFonts w:asciiTheme="minorHAnsi" w:hAnsiTheme="minorHAnsi"/>
                <w:i/>
                <w:iCs/>
                <w:sz w:val="22"/>
                <w:szCs w:val="22"/>
              </w:rPr>
              <w:t>Teorija obrazovnih kurikula u ranome razvojnome razdoblju – 10 ECTS bodova</w:t>
            </w:r>
            <w:r w:rsidRPr="008F0675">
              <w:rPr>
                <w:rFonts w:asciiTheme="minorHAnsi" w:hAnsiTheme="minorHAnsi"/>
                <w:sz w:val="22"/>
                <w:szCs w:val="22"/>
              </w:rPr>
              <w:t xml:space="preserve">), a uz to, od sedam ponuđenih obveznih izbornih kolegija, student izabire jedan (10 ECTS bodova), sukladno užemu istraživačkome području. Obvezni kolegiji i obvezni izborni kolegiji, donose ukupno 40 ECTS bodova - 20 u prvome i 20 u drugome semestru. Preostalih 10 bodova u svakome semestru (ukupno 20 ECTS bodova), doktorand prikuplja sudjelovanjem u dodatnim aktivnostima (npr. radionice, okrugli stolovi, tematske rasprave i sl.). Od 3. do 6. semestra ostvaruje se program strukturiran kao niz izbornih nastavnih kolegija i dodatnih studijskih aktivnosti u kojima se svaki doktorand uključuje u samostalan istraživački rad. U trećemu semestru, od ponuđena 22 izborna kolegija, doktorand bira dva kolegija (svaki donosi 7 ECTS bodova), u skladu s osobnim željama, istraživačkim interesima i temom buduće disertacije. Na taj se način ostvaruje 14 ECTS bodova. Preostalih 16 bodova prikuplja se sudjelovanjem u dodatnim aktivnostima kao što su </w:t>
            </w:r>
            <w:r w:rsidRPr="008F0675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radionice i okrugli stolovi, pisanjem prikaza ili znanstvenih radova, sudjelovanjem na znanstvenome skupu. Četvrti je semestar predviđen za izradu i obranu nacrta (sinopsisa) doktorske disertacije, što donosi 20 ECTS bodova. Preostalih se 10 bodova ostvaruje provedbom istraživanja povezanih s temom doktorskoga rada. Peti i šesti semestar posvećen je intenzivnom individualnom radu doktoranda sa studijskim savjetnikom i mentorom, u okviru tzv. mentorskoga kolegija. Pri upisu se svakome doktorandu dodjeljuje studijski savjetnik ovisno o iskazanom istraživačkom interesu pristupnika. U petome je semestru predviđen dovršetak istraživanja te pisanje i oblikovanje doktorskoga rada uz kontinuirane usmene i </w:t>
            </w:r>
            <w:r w:rsidRPr="008F0675">
              <w:rPr>
                <w:rFonts w:asciiTheme="minorHAnsi" w:hAnsiTheme="minorHAnsi"/>
                <w:i/>
                <w:iCs/>
                <w:sz w:val="22"/>
                <w:szCs w:val="22"/>
              </w:rPr>
              <w:t xml:space="preserve">on-line </w:t>
            </w:r>
            <w:r w:rsidRPr="008F0675">
              <w:rPr>
                <w:rFonts w:asciiTheme="minorHAnsi" w:hAnsiTheme="minorHAnsi"/>
                <w:sz w:val="22"/>
                <w:szCs w:val="22"/>
              </w:rPr>
              <w:t xml:space="preserve">konzultacije pod mentorskim/sumentorskim vodstvom. U šestome je semestru predviđena obrana doktorske disertacije. Ukupno je za izradu doktorskoga rada predviđeno opterećenje od 60 ECTS bodova. </w:t>
            </w:r>
            <w:r w:rsidR="008F0675">
              <w:rPr>
                <w:rFonts w:asciiTheme="minorHAnsi" w:hAnsiTheme="minorHAnsi"/>
                <w:sz w:val="22"/>
                <w:szCs w:val="22"/>
              </w:rPr>
              <w:t>Tijekom studija za doktorande se organiziraju različite dodatne aktivnosti, kao što su: radionice, predavanja</w:t>
            </w:r>
            <w:r w:rsidR="006C0F2C">
              <w:rPr>
                <w:rFonts w:asciiTheme="minorHAnsi" w:hAnsiTheme="minorHAnsi"/>
                <w:sz w:val="22"/>
                <w:szCs w:val="22"/>
              </w:rPr>
              <w:t>, simpoziji</w:t>
            </w:r>
            <w:r w:rsidR="008F0675">
              <w:rPr>
                <w:rFonts w:asciiTheme="minorHAnsi" w:hAnsiTheme="minorHAnsi"/>
                <w:sz w:val="22"/>
                <w:szCs w:val="22"/>
              </w:rPr>
              <w:t xml:space="preserve"> i okrugli stolovi</w:t>
            </w:r>
            <w:r w:rsidR="006C0F2C">
              <w:rPr>
                <w:rFonts w:asciiTheme="minorHAnsi" w:hAnsiTheme="minorHAnsi"/>
                <w:sz w:val="22"/>
                <w:szCs w:val="22"/>
              </w:rPr>
              <w:t>,</w:t>
            </w:r>
            <w:r w:rsidR="008F0675">
              <w:rPr>
                <w:rFonts w:asciiTheme="minorHAnsi" w:hAnsiTheme="minorHAnsi"/>
                <w:sz w:val="22"/>
                <w:szCs w:val="22"/>
              </w:rPr>
              <w:t xml:space="preserve"> koj</w:t>
            </w:r>
            <w:r w:rsidR="006C0F2C">
              <w:rPr>
                <w:rFonts w:asciiTheme="minorHAnsi" w:hAnsiTheme="minorHAnsi"/>
                <w:sz w:val="22"/>
                <w:szCs w:val="22"/>
              </w:rPr>
              <w:t>e</w:t>
            </w:r>
            <w:r w:rsidR="008F067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C0F2C">
              <w:rPr>
                <w:rFonts w:asciiTheme="minorHAnsi" w:hAnsiTheme="minorHAnsi"/>
                <w:sz w:val="22"/>
                <w:szCs w:val="22"/>
              </w:rPr>
              <w:t xml:space="preserve">im </w:t>
            </w:r>
            <w:r w:rsidR="008F0675">
              <w:rPr>
                <w:rFonts w:asciiTheme="minorHAnsi" w:hAnsiTheme="minorHAnsi"/>
                <w:sz w:val="22"/>
                <w:szCs w:val="22"/>
              </w:rPr>
              <w:t>omogućuju znanstveno usavršavanje</w:t>
            </w:r>
            <w:r w:rsidR="006C0F2C">
              <w:rPr>
                <w:rFonts w:asciiTheme="minorHAnsi" w:hAnsiTheme="minorHAnsi"/>
                <w:sz w:val="22"/>
                <w:szCs w:val="22"/>
              </w:rPr>
              <w:t xml:space="preserve">, razmjenu mišljenja, spoznaja i rezultata istraživanja što im omogućuje bolje upoznavanje i uključivanje u svijet znanosti. </w:t>
            </w:r>
          </w:p>
          <w:p w14:paraId="121E1FB5" w14:textId="4D95D3EE" w:rsidR="00212A7E" w:rsidRDefault="00212A7E" w:rsidP="00205875">
            <w:pPr>
              <w:rPr>
                <w:lang w:val="hr-HR"/>
              </w:rPr>
            </w:pPr>
          </w:p>
        </w:tc>
      </w:tr>
      <w:tr w:rsidR="005339A6" w14:paraId="3CD9B519" w14:textId="77777777" w:rsidTr="005339A6">
        <w:tc>
          <w:tcPr>
            <w:tcW w:w="9016" w:type="dxa"/>
          </w:tcPr>
          <w:p w14:paraId="71E09AC2" w14:textId="77777777" w:rsidR="005339A6" w:rsidRDefault="00212A7E">
            <w:pPr>
              <w:rPr>
                <w:lang w:val="hr-HR"/>
              </w:rPr>
            </w:pPr>
            <w:r>
              <w:rPr>
                <w:lang w:val="hr-HR"/>
              </w:rPr>
              <w:lastRenderedPageBreak/>
              <w:t>Uvjeti za upis:</w:t>
            </w:r>
            <w:r w:rsidR="00476D6C">
              <w:rPr>
                <w:lang w:val="hr-HR"/>
              </w:rPr>
              <w:t xml:space="preserve"> </w:t>
            </w:r>
          </w:p>
          <w:p w14:paraId="0C47A2E2" w14:textId="23E8A417" w:rsidR="00476D6C" w:rsidRPr="008F0675" w:rsidRDefault="00476D6C" w:rsidP="00476D6C">
            <w:pPr>
              <w:pStyle w:val="NormalWeb"/>
              <w:rPr>
                <w:rFonts w:asciiTheme="minorHAnsi" w:hAnsiTheme="minorHAnsi"/>
              </w:rPr>
            </w:pPr>
            <w:r w:rsidRPr="008F0675">
              <w:rPr>
                <w:rFonts w:asciiTheme="minorHAnsi" w:hAnsiTheme="minorHAnsi"/>
                <w:sz w:val="22"/>
                <w:szCs w:val="22"/>
              </w:rPr>
              <w:t xml:space="preserve">Na predloženi doktorski studij mogu se upisati pristupnici koji su prethodno završili neki od sljedećih studija i time stekli najmanje 300 ECTS:  integrirani preddiplomski i diplomski Učiteljski studij iz područja primarnoga obrazovanja; diplomski sveučilišni studij Rani i predškolski odgoj i obrazovanje; sveučilišni diplomski studij nastavničkog smjera; četverogodišnji diplomski studij nastavničkoga smjera prema ranijem programu koji je izjednačen s akademskim zvanjima stečenim prema novom studijskom programu. </w:t>
            </w:r>
          </w:p>
          <w:p w14:paraId="33405CE4" w14:textId="77777777" w:rsidR="00476D6C" w:rsidRPr="008F0675" w:rsidRDefault="00476D6C" w:rsidP="00476D6C">
            <w:pPr>
              <w:pStyle w:val="NormalWeb"/>
              <w:rPr>
                <w:rFonts w:asciiTheme="minorHAnsi" w:hAnsiTheme="minorHAnsi"/>
              </w:rPr>
            </w:pPr>
            <w:r w:rsidRPr="008F0675">
              <w:rPr>
                <w:rFonts w:asciiTheme="minorHAnsi" w:hAnsiTheme="minorHAnsi"/>
                <w:sz w:val="22"/>
                <w:szCs w:val="22"/>
              </w:rPr>
              <w:t xml:space="preserve">Ovaj je poslijediplomski doktorski studij otvoren također i za upis svih drugih stručnjaka koji su završili nenastavničke studijske programe, uz uvjet prethodnoga polaganja razlikovnih ispita. Povjerenstvo za upis na doktorski studij usporedit će studijske programe pristupnika i donijeti odluku o sadržaju, broju i načinu polaganja razlikovnih ispita. </w:t>
            </w:r>
          </w:p>
          <w:p w14:paraId="6C70C245" w14:textId="0C108C3C" w:rsidR="00476D6C" w:rsidRDefault="00476D6C" w:rsidP="008F0675">
            <w:pPr>
              <w:pStyle w:val="NormalWeb"/>
            </w:pPr>
          </w:p>
        </w:tc>
      </w:tr>
      <w:tr w:rsidR="005339A6" w14:paraId="7FFBD798" w14:textId="77777777" w:rsidTr="005339A6">
        <w:tc>
          <w:tcPr>
            <w:tcW w:w="9016" w:type="dxa"/>
          </w:tcPr>
          <w:p w14:paraId="706C2607" w14:textId="37965812" w:rsidR="005339A6" w:rsidRDefault="00212A7E">
            <w:pPr>
              <w:rPr>
                <w:lang w:val="hr-HR"/>
              </w:rPr>
            </w:pPr>
            <w:r>
              <w:rPr>
                <w:lang w:val="hr-HR"/>
              </w:rPr>
              <w:t>Cijena studija po semestru:</w:t>
            </w:r>
            <w:r w:rsidR="00476D6C">
              <w:rPr>
                <w:lang w:val="hr-HR"/>
              </w:rPr>
              <w:t xml:space="preserve"> </w:t>
            </w:r>
            <w:r w:rsidR="008F0675">
              <w:rPr>
                <w:lang w:val="hr-HR"/>
              </w:rPr>
              <w:t>1461,00 eura (11.000,00 kn)</w:t>
            </w:r>
          </w:p>
        </w:tc>
      </w:tr>
    </w:tbl>
    <w:p w14:paraId="3558B8E4" w14:textId="77777777" w:rsidR="005339A6" w:rsidRDefault="005339A6"/>
    <w:sectPr w:rsidR="00533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52E2"/>
    <w:multiLevelType w:val="multilevel"/>
    <w:tmpl w:val="D820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162D7"/>
    <w:multiLevelType w:val="multilevel"/>
    <w:tmpl w:val="331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5000F2"/>
    <w:multiLevelType w:val="multilevel"/>
    <w:tmpl w:val="E16C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741769">
    <w:abstractNumId w:val="0"/>
  </w:num>
  <w:num w:numId="2" w16cid:durableId="867327749">
    <w:abstractNumId w:val="2"/>
  </w:num>
  <w:num w:numId="3" w16cid:durableId="663705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A6"/>
    <w:rsid w:val="00205875"/>
    <w:rsid w:val="00212A7E"/>
    <w:rsid w:val="00476D6C"/>
    <w:rsid w:val="005339A6"/>
    <w:rsid w:val="006C0F2C"/>
    <w:rsid w:val="008F0675"/>
    <w:rsid w:val="00D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E3C55E"/>
  <w15:chartTrackingRefBased/>
  <w15:docId w15:val="{7A75B54C-A76A-4749-8711-046F94A57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76D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476D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3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6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6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1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ja.balic-simrak@ufzg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tonija.balic24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adrovic@gmail.com" TargetMode="External"/><Relationship Id="rId5" Type="http://schemas.openxmlformats.org/officeDocument/2006/relationships/hyperlink" Target="mailto:katarina.aladrovic@ufzg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Velički</dc:creator>
  <cp:keywords/>
  <dc:description/>
  <cp:lastModifiedBy>Damir Velički</cp:lastModifiedBy>
  <cp:revision>3</cp:revision>
  <dcterms:created xsi:type="dcterms:W3CDTF">2023-11-28T05:43:00Z</dcterms:created>
  <dcterms:modified xsi:type="dcterms:W3CDTF">2023-12-06T10:45:00Z</dcterms:modified>
</cp:coreProperties>
</file>