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07B37" w14:textId="77777777" w:rsidR="000309A5" w:rsidRDefault="000309A5" w:rsidP="000309A5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0309A5">
        <w:rPr>
          <w:rFonts w:ascii="Times New Roman" w:hAnsi="Times New Roman"/>
          <w:b/>
          <w:bCs/>
          <w:sz w:val="24"/>
          <w:szCs w:val="24"/>
        </w:rPr>
        <w:t>OBRAZAC PRIMJERA DOBRE PRAKSE</w:t>
      </w:r>
    </w:p>
    <w:p w14:paraId="2E03DAFA" w14:textId="77777777" w:rsidR="000309A5" w:rsidRDefault="000309A5" w:rsidP="000309A5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4F4752C" w14:textId="77777777" w:rsidR="000309A5" w:rsidRPr="000309A5" w:rsidRDefault="000309A5" w:rsidP="000309A5">
      <w:pPr>
        <w:spacing w:after="120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113FF659" w14:textId="77777777" w:rsidR="000309A5" w:rsidRPr="009F488C" w:rsidRDefault="000309A5" w:rsidP="000309A5">
      <w:pPr>
        <w:spacing w:after="120"/>
        <w:contextualSpacing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Style w:val="TableGrid1"/>
        <w:tblW w:w="928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6203"/>
      </w:tblGrid>
      <w:tr w:rsidR="000309A5" w:rsidRPr="009F488C" w14:paraId="450D8B40" w14:textId="77777777" w:rsidTr="000309A5">
        <w:trPr>
          <w:trHeight w:val="852"/>
        </w:trPr>
        <w:tc>
          <w:tcPr>
            <w:tcW w:w="3085" w:type="dxa"/>
            <w:shd w:val="clear" w:color="auto" w:fill="D9E2F3" w:themeFill="accent1" w:themeFillTint="33"/>
          </w:tcPr>
          <w:p w14:paraId="5DDA743F" w14:textId="77777777" w:rsidR="000309A5" w:rsidRPr="009F488C" w:rsidRDefault="000309A5" w:rsidP="002D3E1E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Sastavnica</w:t>
            </w:r>
          </w:p>
        </w:tc>
        <w:tc>
          <w:tcPr>
            <w:tcW w:w="6203" w:type="dxa"/>
            <w:noWrap/>
            <w:vAlign w:val="center"/>
          </w:tcPr>
          <w:p w14:paraId="20AA6C68" w14:textId="3661EEA7" w:rsidR="000309A5" w:rsidRPr="009F488C" w:rsidRDefault="00C2190A" w:rsidP="002D3E1E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Sveučilište u Zagrebu Učiteljski fakultet</w:t>
            </w:r>
          </w:p>
        </w:tc>
      </w:tr>
      <w:tr w:rsidR="000309A5" w:rsidRPr="009F488C" w14:paraId="34CB761D" w14:textId="77777777" w:rsidTr="000309A5">
        <w:trPr>
          <w:trHeight w:val="852"/>
        </w:trPr>
        <w:tc>
          <w:tcPr>
            <w:tcW w:w="3085" w:type="dxa"/>
            <w:shd w:val="clear" w:color="auto" w:fill="D9E2F3" w:themeFill="accent1" w:themeFillTint="33"/>
          </w:tcPr>
          <w:p w14:paraId="33A3FC4E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Naziv aktivnosti</w:t>
            </w:r>
          </w:p>
        </w:tc>
        <w:tc>
          <w:tcPr>
            <w:tcW w:w="6203" w:type="dxa"/>
            <w:noWrap/>
            <w:vAlign w:val="center"/>
          </w:tcPr>
          <w:p w14:paraId="3512FEF3" w14:textId="04390129" w:rsidR="000309A5" w:rsidRPr="009F488C" w:rsidRDefault="00FB6E1B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humanitarna akcija </w:t>
            </w:r>
            <w:r w:rsidR="00C6473C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Advent Sveučilišta u Zagrebu</w:t>
            </w:r>
          </w:p>
        </w:tc>
      </w:tr>
      <w:tr w:rsidR="000309A5" w:rsidRPr="009F488C" w14:paraId="3030B833" w14:textId="77777777" w:rsidTr="000309A5">
        <w:trPr>
          <w:trHeight w:val="748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7C7EF519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Vrijeme provedbe</w:t>
            </w:r>
          </w:p>
        </w:tc>
        <w:tc>
          <w:tcPr>
            <w:tcW w:w="6203" w:type="dxa"/>
            <w:noWrap/>
            <w:vAlign w:val="center"/>
            <w:hideMark/>
          </w:tcPr>
          <w:p w14:paraId="2D8DB39F" w14:textId="69F9671E" w:rsidR="000309A5" w:rsidRPr="009F4F9E" w:rsidRDefault="00C6473C" w:rsidP="002D3E1E">
            <w:pPr>
              <w:spacing w:after="120"/>
              <w:jc w:val="both"/>
              <w:rPr>
                <w:rFonts w:ascii="Times New Roman" w:hAnsi="Times New Roman"/>
                <w:bCs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noProof/>
                <w:sz w:val="20"/>
                <w:szCs w:val="20"/>
              </w:rPr>
              <w:t>16.-20.12.2024.</w:t>
            </w:r>
          </w:p>
        </w:tc>
      </w:tr>
      <w:tr w:rsidR="000309A5" w:rsidRPr="009F488C" w14:paraId="2CECCB16" w14:textId="77777777" w:rsidTr="000309A5">
        <w:trPr>
          <w:trHeight w:val="584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58174369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Uključena tijela i osobe</w:t>
            </w:r>
          </w:p>
        </w:tc>
        <w:tc>
          <w:tcPr>
            <w:tcW w:w="6203" w:type="dxa"/>
            <w:hideMark/>
          </w:tcPr>
          <w:p w14:paraId="0F81E68B" w14:textId="2A0CD3F3" w:rsidR="000309A5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r w:rsidR="00C2190A">
              <w:rPr>
                <w:rFonts w:ascii="Times New Roman" w:hAnsi="Times New Roman"/>
                <w:noProof/>
                <w:sz w:val="20"/>
                <w:szCs w:val="20"/>
              </w:rPr>
              <w:t>Studentski zbor Učiteljskog fakulteta</w:t>
            </w:r>
          </w:p>
          <w:p w14:paraId="05761C58" w14:textId="77777777" w:rsidR="000309A5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  <w:p w14:paraId="1F2A1823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309A5" w:rsidRPr="009F488C" w14:paraId="6141FAD6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</w:tcPr>
          <w:p w14:paraId="1337D2B4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Indikatori ostvarenja</w:t>
            </w:r>
          </w:p>
          <w:p w14:paraId="5F9AF059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</w:tcPr>
          <w:p w14:paraId="5A764AB1" w14:textId="3C8F0587" w:rsidR="000309A5" w:rsidRDefault="007F7991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Pr="007F7991">
              <w:rPr>
                <w:rFonts w:ascii="Times New Roman" w:hAnsi="Times New Roman"/>
                <w:noProof/>
                <w:sz w:val="20"/>
                <w:szCs w:val="20"/>
              </w:rPr>
              <w:t>spješno su prikupljena sredstva za Specijalnu bolnicu za kronične bolesti dječje dobi Gornja Bistra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14:paraId="3A04E4DB" w14:textId="2FA7A907" w:rsidR="007F7991" w:rsidRDefault="007F7991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Volonterski </w:t>
            </w:r>
            <w:r w:rsidR="0052776F">
              <w:rPr>
                <w:rFonts w:ascii="Times New Roman" w:hAnsi="Times New Roman"/>
                <w:noProof/>
                <w:sz w:val="20"/>
                <w:szCs w:val="20"/>
              </w:rPr>
              <w:t>rad i angažman studenata</w:t>
            </w:r>
            <w:r w:rsidR="00F13873">
              <w:rPr>
                <w:rFonts w:ascii="Times New Roman" w:hAnsi="Times New Roman"/>
                <w:noProof/>
                <w:sz w:val="20"/>
                <w:szCs w:val="20"/>
              </w:rPr>
              <w:t xml:space="preserve"> Učiteljskog fakulteta.</w:t>
            </w:r>
          </w:p>
          <w:p w14:paraId="071C3C4D" w14:textId="1A91CF16" w:rsidR="000309A5" w:rsidRPr="009F488C" w:rsidRDefault="0052776F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Promicanje humanosti i solidarnosti </w:t>
            </w:r>
            <w:r w:rsidRPr="0052776F">
              <w:rPr>
                <w:rFonts w:ascii="Times New Roman" w:hAnsi="Times New Roman"/>
                <w:noProof/>
                <w:sz w:val="20"/>
                <w:szCs w:val="20"/>
              </w:rPr>
              <w:t>među studentima fakulteta sastavnica Sveučilišta u Zagrebu i građanima Republike Hrvatske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</w:tc>
      </w:tr>
      <w:tr w:rsidR="000309A5" w:rsidRPr="009F488C" w14:paraId="2CD4B8D6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3B40CBAB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Opis aktivnosti (do 3.000 znakova)</w:t>
            </w:r>
          </w:p>
          <w:p w14:paraId="3FD2367D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  <w:tc>
          <w:tcPr>
            <w:tcW w:w="6203" w:type="dxa"/>
            <w:hideMark/>
          </w:tcPr>
          <w:p w14:paraId="577AFB69" w14:textId="77777777" w:rsidR="00F13873" w:rsidRDefault="00C6473C" w:rsidP="00C6473C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6473C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Advent Sveučilišta u Zagrebu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projekt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je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koji su osmislili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održavaju i koordiniraju 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članovi Studentskog zbora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Sveučilišta u Zagrebu 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Učiteljskog fakulteta u suradnji sa studentskim zborovima sastavnica Sveučilišta u Zagrebu. </w:t>
            </w:r>
          </w:p>
          <w:p w14:paraId="52EAF344" w14:textId="48A04597" w:rsidR="00C6473C" w:rsidRPr="00C6473C" w:rsidRDefault="00F13873" w:rsidP="00C6473C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13873">
              <w:rPr>
                <w:rFonts w:ascii="Times New Roman" w:hAnsi="Times New Roman"/>
                <w:noProof/>
                <w:sz w:val="20"/>
                <w:szCs w:val="20"/>
              </w:rPr>
              <w:t xml:space="preserve">Od 2021.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godine </w:t>
            </w:r>
            <w:r w:rsidRPr="00F13873">
              <w:rPr>
                <w:rFonts w:ascii="Times New Roman" w:hAnsi="Times New Roman"/>
                <w:noProof/>
                <w:sz w:val="20"/>
                <w:szCs w:val="20"/>
              </w:rPr>
              <w:t>do danas prikupil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 se</w:t>
            </w:r>
            <w:r w:rsidRPr="00F13873">
              <w:rPr>
                <w:rFonts w:ascii="Times New Roman" w:hAnsi="Times New Roman"/>
                <w:noProof/>
                <w:sz w:val="20"/>
                <w:szCs w:val="20"/>
              </w:rPr>
              <w:t xml:space="preserve"> više od 26.733 eura, a sredstva su donirana institucijama koje skrbe o djeci i mladima: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Pr="00F13873">
              <w:rPr>
                <w:rFonts w:ascii="Times New Roman" w:hAnsi="Times New Roman"/>
                <w:noProof/>
                <w:sz w:val="20"/>
                <w:szCs w:val="20"/>
              </w:rPr>
              <w:t>Dječji dom u Nazorovoj i Udruga Mali zmaj (2021.)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, </w:t>
            </w:r>
            <w:r w:rsidRPr="00F13873">
              <w:rPr>
                <w:rFonts w:ascii="Times New Roman" w:hAnsi="Times New Roman"/>
                <w:noProof/>
                <w:sz w:val="20"/>
                <w:szCs w:val="20"/>
              </w:rPr>
              <w:t>Klinika za dječje bolesti Zagreb (2022.)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i </w:t>
            </w:r>
            <w:r w:rsidRPr="00F13873">
              <w:rPr>
                <w:rFonts w:ascii="Times New Roman" w:hAnsi="Times New Roman"/>
                <w:noProof/>
                <w:sz w:val="20"/>
                <w:szCs w:val="20"/>
              </w:rPr>
              <w:t>Psihijatrijska bolnica za djecu i mladež u Zagrebu (2023.)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</w:t>
            </w:r>
            <w:r w:rsidR="00C6473C"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Projekt je isključivo humanitarnog karaktera, a </w:t>
            </w:r>
            <w:r w:rsidR="00C6473C">
              <w:rPr>
                <w:rFonts w:ascii="Times New Roman" w:hAnsi="Times New Roman"/>
                <w:noProof/>
                <w:sz w:val="20"/>
                <w:szCs w:val="20"/>
              </w:rPr>
              <w:t>2024. godine</w:t>
            </w:r>
            <w:r w:rsidR="00C6473C"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njegov </w:t>
            </w:r>
            <w:r w:rsid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je </w:t>
            </w:r>
            <w:r w:rsidR="00C6473C"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cilj </w:t>
            </w:r>
            <w:r w:rsid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bio </w:t>
            </w:r>
            <w:r w:rsidR="00C6473C" w:rsidRPr="00C6473C">
              <w:rPr>
                <w:rFonts w:ascii="Times New Roman" w:hAnsi="Times New Roman"/>
                <w:noProof/>
                <w:sz w:val="20"/>
                <w:szCs w:val="20"/>
              </w:rPr>
              <w:t>prikupiti novčana sredstva za donaciju Specijaln</w:t>
            </w:r>
            <w:r w:rsidR="00C6473C">
              <w:rPr>
                <w:rFonts w:ascii="Times New Roman" w:hAnsi="Times New Roman"/>
                <w:noProof/>
                <w:sz w:val="20"/>
                <w:szCs w:val="20"/>
              </w:rPr>
              <w:t>oj</w:t>
            </w:r>
            <w:r w:rsidR="00C6473C"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bolnic</w:t>
            </w:r>
            <w:r w:rsidR="00C6473C">
              <w:rPr>
                <w:rFonts w:ascii="Times New Roman" w:hAnsi="Times New Roman"/>
                <w:noProof/>
                <w:sz w:val="20"/>
                <w:szCs w:val="20"/>
              </w:rPr>
              <w:t>i</w:t>
            </w:r>
            <w:r w:rsidR="00C6473C"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za kronične bolesti dječje </w:t>
            </w:r>
            <w:r w:rsidR="007F7991">
              <w:rPr>
                <w:rFonts w:ascii="Times New Roman" w:hAnsi="Times New Roman"/>
                <w:noProof/>
                <w:sz w:val="20"/>
                <w:szCs w:val="20"/>
              </w:rPr>
              <w:t>dobi</w:t>
            </w:r>
            <w:r w:rsidR="00C6473C"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Gornja Bistra. </w:t>
            </w:r>
          </w:p>
          <w:p w14:paraId="566D3F39" w14:textId="77777777" w:rsidR="00C6473C" w:rsidRDefault="00C6473C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D51301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Advent Sveučilišta u Zagrebu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provodi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o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se pet dana. Prvi dan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započeo je svečanim otvorenjem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u 17 sati nastupom Akademskog pjevačkog zbora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Sveučilišta u Zagrebu 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>Učiteljskog fakulteta i govorom dekan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ice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Učiteljskog fakulteta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i 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>predsjednice Studentskog zbora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.</w:t>
            </w:r>
          </w:p>
          <w:p w14:paraId="5FB431B6" w14:textId="7D295AD9" w:rsidR="000309A5" w:rsidRDefault="00C6473C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>Tijekom preostalih dana održa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li se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se kvizovi općeg znanja, tombola, kreativne radionice, nastupi Akademskih pjevačkih zborova sastavnica Sveučilišta u Zagrebu te studentskih glazbenih grupa, kao i božićna humanitarna predstava pod nazivom </w:t>
            </w:r>
            <w:r w:rsidRPr="00C6473C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Božićni san male Klare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koju su osmislili i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izveli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studenti smjera Ranog i predškolskog odgoja i obrazovanja Učiteljskog fakulteta. Advent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 je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također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bio</w:t>
            </w:r>
            <w:r w:rsidRPr="00C6473C">
              <w:rPr>
                <w:rFonts w:ascii="Times New Roman" w:hAnsi="Times New Roman"/>
                <w:noProof/>
                <w:sz w:val="20"/>
                <w:szCs w:val="20"/>
              </w:rPr>
              <w:t xml:space="preserve"> upotpunjen gastronomskom ponudom te radovima i rukotvorinama studenata.</w:t>
            </w:r>
          </w:p>
          <w:p w14:paraId="1EE4065C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309A5" w:rsidRPr="009F488C" w14:paraId="595085B6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77C3B32B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Obrazloženje odabira primjera dobre prakse (navesti zašto smatrate da je navedena aktivnost primjer dobre prakse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; do 1000 znakova</w:t>
            </w: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)</w:t>
            </w:r>
          </w:p>
        </w:tc>
        <w:tc>
          <w:tcPr>
            <w:tcW w:w="6203" w:type="dxa"/>
            <w:hideMark/>
          </w:tcPr>
          <w:p w14:paraId="7B55B8F9" w14:textId="479A8819" w:rsidR="000309A5" w:rsidRDefault="00F25A69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F25A69">
              <w:rPr>
                <w:rFonts w:ascii="Times New Roman" w:hAnsi="Times New Roman"/>
                <w:noProof/>
                <w:sz w:val="20"/>
                <w:szCs w:val="20"/>
              </w:rPr>
              <w:t xml:space="preserve">Projekt </w:t>
            </w:r>
            <w:r w:rsidRPr="00F13873">
              <w:rPr>
                <w:rFonts w:ascii="Times New Roman" w:hAnsi="Times New Roman"/>
                <w:i/>
                <w:iCs/>
                <w:noProof/>
                <w:sz w:val="20"/>
                <w:szCs w:val="20"/>
              </w:rPr>
              <w:t>Advent Sveučilišta u Zagrebu</w:t>
            </w:r>
            <w:r w:rsidRPr="00F25A69">
              <w:rPr>
                <w:rFonts w:ascii="Times New Roman" w:hAnsi="Times New Roman"/>
                <w:noProof/>
                <w:sz w:val="20"/>
                <w:szCs w:val="20"/>
              </w:rPr>
              <w:t xml:space="preserve"> osmišljen je s ciljem osnaživanja božićnog duha u Zagrebu. </w:t>
            </w:r>
            <w:r w:rsidR="009B584A">
              <w:rPr>
                <w:rFonts w:ascii="Times New Roman" w:hAnsi="Times New Roman"/>
                <w:noProof/>
                <w:sz w:val="20"/>
                <w:szCs w:val="20"/>
              </w:rPr>
              <w:t xml:space="preserve">Održavanjem projekta </w:t>
            </w:r>
            <w:r w:rsidRPr="00F25A69">
              <w:rPr>
                <w:rFonts w:ascii="Times New Roman" w:hAnsi="Times New Roman"/>
                <w:noProof/>
                <w:sz w:val="20"/>
                <w:szCs w:val="20"/>
              </w:rPr>
              <w:t xml:space="preserve">uspješno su prikupljena sredstva za </w:t>
            </w:r>
            <w:r w:rsidR="007F7991">
              <w:rPr>
                <w:rFonts w:ascii="Times New Roman" w:hAnsi="Times New Roman"/>
                <w:noProof/>
                <w:sz w:val="20"/>
                <w:szCs w:val="20"/>
              </w:rPr>
              <w:t xml:space="preserve">Specijalnu bolnicu za kronične bolesti dječje dobi Gornja Bistra. </w:t>
            </w:r>
            <w:r w:rsidRPr="00F25A69">
              <w:rPr>
                <w:rFonts w:ascii="Times New Roman" w:hAnsi="Times New Roman"/>
                <w:noProof/>
                <w:sz w:val="20"/>
                <w:szCs w:val="20"/>
              </w:rPr>
              <w:t>Glavni cilj projekta je ojačati božićno ozračje te proširiti božićni duh darivanja onih kojima je to najpotrebnije među studentima fakulteta sastavnica Sveučilišta u Zagrebu i građanima Republike Hrvatske. Održavanjem projekta želi se djelovati na promicanje humanosti te uljepšavanje blagdana svim studentima i profesorima, a ponajviše proširiti blagdanski ugođaj na one kojima je to najneophodnije.</w:t>
            </w:r>
          </w:p>
          <w:p w14:paraId="22A61A6D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  <w:tr w:rsidR="000309A5" w:rsidRPr="009F488C" w14:paraId="0B255C4F" w14:textId="77777777" w:rsidTr="000309A5">
        <w:trPr>
          <w:trHeight w:val="300"/>
        </w:trPr>
        <w:tc>
          <w:tcPr>
            <w:tcW w:w="3085" w:type="dxa"/>
            <w:shd w:val="clear" w:color="auto" w:fill="D9E2F3" w:themeFill="accent1" w:themeFillTint="33"/>
            <w:hideMark/>
          </w:tcPr>
          <w:p w14:paraId="01268737" w14:textId="77777777" w:rsidR="000309A5" w:rsidRPr="009F488C" w:rsidRDefault="000309A5" w:rsidP="000309A5">
            <w:pPr>
              <w:spacing w:after="120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9F488C">
              <w:rPr>
                <w:rFonts w:ascii="Times New Roman" w:hAnsi="Times New Roman"/>
                <w:noProof/>
                <w:sz w:val="20"/>
                <w:szCs w:val="20"/>
              </w:rPr>
              <w:t>Planovi za dodatno unaprjeđenje (navesti moguće planirane aktivnosti u sljedećem razdoblju)</w:t>
            </w:r>
          </w:p>
        </w:tc>
        <w:tc>
          <w:tcPr>
            <w:tcW w:w="6203" w:type="dxa"/>
            <w:hideMark/>
          </w:tcPr>
          <w:p w14:paraId="4DA4F012" w14:textId="0E64038C" w:rsidR="000309A5" w:rsidRDefault="00A3259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</w:rPr>
              <w:t>U</w:t>
            </w:r>
            <w:r w:rsidRPr="00A32595">
              <w:rPr>
                <w:rFonts w:ascii="Times New Roman" w:hAnsi="Times New Roman"/>
                <w:noProof/>
                <w:sz w:val="20"/>
                <w:szCs w:val="20"/>
              </w:rPr>
              <w:t xml:space="preserve">ključiti vrtiće i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 xml:space="preserve">osnovne </w:t>
            </w:r>
            <w:r w:rsidRPr="00A32595">
              <w:rPr>
                <w:rFonts w:ascii="Times New Roman" w:hAnsi="Times New Roman"/>
                <w:noProof/>
                <w:sz w:val="20"/>
                <w:szCs w:val="20"/>
              </w:rPr>
              <w:t xml:space="preserve">škole sudjelovanjem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na različite načine – predstave, pjevački nastupi i radionice.</w:t>
            </w:r>
          </w:p>
          <w:p w14:paraId="4B9AC286" w14:textId="77777777" w:rsidR="000309A5" w:rsidRPr="009F488C" w:rsidRDefault="000309A5" w:rsidP="002D3E1E">
            <w:pPr>
              <w:spacing w:after="120"/>
              <w:jc w:val="both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14:paraId="3352FD12" w14:textId="77777777" w:rsidR="000309A5" w:rsidRPr="009F488C" w:rsidRDefault="000309A5" w:rsidP="000309A5">
      <w:pPr>
        <w:spacing w:after="120"/>
        <w:contextualSpacing/>
        <w:jc w:val="both"/>
        <w:rPr>
          <w:rFonts w:ascii="Times New Roman" w:hAnsi="Times New Roman"/>
          <w:bCs/>
          <w:sz w:val="20"/>
          <w:szCs w:val="20"/>
        </w:rPr>
      </w:pPr>
    </w:p>
    <w:p w14:paraId="11C36220" w14:textId="77777777" w:rsidR="004834DB" w:rsidRDefault="004834DB"/>
    <w:sectPr w:rsidR="004834D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A5"/>
    <w:rsid w:val="000309A5"/>
    <w:rsid w:val="00123BF8"/>
    <w:rsid w:val="001E3B75"/>
    <w:rsid w:val="004834DB"/>
    <w:rsid w:val="0052776F"/>
    <w:rsid w:val="005B4814"/>
    <w:rsid w:val="006E5179"/>
    <w:rsid w:val="007F7991"/>
    <w:rsid w:val="008E5552"/>
    <w:rsid w:val="009B4958"/>
    <w:rsid w:val="009B584A"/>
    <w:rsid w:val="009F4F9E"/>
    <w:rsid w:val="00A32595"/>
    <w:rsid w:val="00C2190A"/>
    <w:rsid w:val="00C6473C"/>
    <w:rsid w:val="00C76ED7"/>
    <w:rsid w:val="00CF0A2F"/>
    <w:rsid w:val="00D51301"/>
    <w:rsid w:val="00E042A0"/>
    <w:rsid w:val="00E241D8"/>
    <w:rsid w:val="00ED01B1"/>
    <w:rsid w:val="00ED53DF"/>
    <w:rsid w:val="00F13873"/>
    <w:rsid w:val="00F25A69"/>
    <w:rsid w:val="00FB10B4"/>
    <w:rsid w:val="00FB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278C6"/>
  <w15:chartTrackingRefBased/>
  <w15:docId w15:val="{5FC06EC7-8C9F-4303-9EF3-156F3F2FB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09A5"/>
    <w:pPr>
      <w:spacing w:after="200" w:line="276" w:lineRule="auto"/>
    </w:pPr>
    <w:rPr>
      <w:rFonts w:ascii="Calibri" w:eastAsia="Calibri" w:hAnsi="Calibri" w:cs="Times New Roman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1">
    <w:name w:val="Table Grid1"/>
    <w:basedOn w:val="Obinatablica"/>
    <w:next w:val="Reetkatablice"/>
    <w:uiPriority w:val="59"/>
    <w:rsid w:val="000309A5"/>
    <w:pPr>
      <w:spacing w:after="0" w:line="240" w:lineRule="auto"/>
    </w:pPr>
    <w:rPr>
      <w:rFonts w:eastAsia="Times New Roman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030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444</Words>
  <Characters>2532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Đuran</dc:creator>
  <cp:keywords/>
  <dc:description/>
  <cp:lastModifiedBy>Ivana Borošić</cp:lastModifiedBy>
  <cp:revision>2</cp:revision>
  <dcterms:created xsi:type="dcterms:W3CDTF">2025-12-04T15:19:00Z</dcterms:created>
  <dcterms:modified xsi:type="dcterms:W3CDTF">2025-12-04T15:19:00Z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b395838166ab6510b8bed810e88e3bc9c392ae61a102766d8f48337be4c6de90</vt:lpwstr>
  </property>
</Properties>
</file>